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7EC3F1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1C25A6">
        <w:t xml:space="preserve"> </w:t>
      </w:r>
      <w:r w:rsidR="00230ABF">
        <w:t>ah-1901</w:t>
      </w:r>
      <w:r w:rsidRPr="00CE0424">
        <w:tab/>
      </w:r>
      <w:r w:rsidR="00091557" w:rsidRPr="00CE0424">
        <w:rPr>
          <w:sz w:val="32"/>
          <w:szCs w:val="32"/>
        </w:rPr>
        <w:t>R</w:t>
      </w:r>
      <w:r w:rsidR="008F1C4E">
        <w:rPr>
          <w:sz w:val="32"/>
          <w:szCs w:val="32"/>
        </w:rPr>
        <w:t>1</w:t>
      </w:r>
      <w:r w:rsidR="00091557" w:rsidRPr="00CE0424">
        <w:rPr>
          <w:sz w:val="32"/>
          <w:szCs w:val="32"/>
        </w:rPr>
        <w:t>-</w:t>
      </w:r>
      <w:r w:rsidR="009E2582" w:rsidRPr="009E2582">
        <w:rPr>
          <w:sz w:val="32"/>
          <w:szCs w:val="32"/>
        </w:rPr>
        <w:t>1901218</w:t>
      </w:r>
    </w:p>
    <w:p w14:paraId="51C3D3E7" w14:textId="6B2DF107" w:rsidR="00E90E49" w:rsidRPr="00230ABF" w:rsidRDefault="00230ABF" w:rsidP="00311702">
      <w:pPr>
        <w:pStyle w:val="3GPPHeader"/>
      </w:pPr>
      <w:r>
        <w:t>Taipei, Taiwan</w:t>
      </w:r>
      <w:r w:rsidR="00486F1D">
        <w:t xml:space="preserve">, </w:t>
      </w:r>
      <w:r>
        <w:t>January</w:t>
      </w:r>
      <w:r w:rsidR="00CE0BF7" w:rsidRPr="00CE0BF7">
        <w:t xml:space="preserve"> </w:t>
      </w:r>
      <w:r>
        <w:t>21</w:t>
      </w:r>
      <w:r>
        <w:rPr>
          <w:vertAlign w:val="superscript"/>
        </w:rPr>
        <w:t>st</w:t>
      </w:r>
      <w:r>
        <w:t xml:space="preserve"> </w:t>
      </w:r>
      <w:r w:rsidR="00CE0BF7" w:rsidRPr="00CE0BF7">
        <w:t xml:space="preserve">– </w:t>
      </w:r>
      <w:r>
        <w:t>25</w:t>
      </w:r>
      <w:r w:rsidR="00CE0BF7" w:rsidRPr="00CE0BF7">
        <w:rPr>
          <w:vertAlign w:val="superscript"/>
        </w:rPr>
        <w:t>th</w:t>
      </w:r>
      <w:r w:rsidR="00C37CB2" w:rsidRPr="00CE0BF7">
        <w:t xml:space="preserve"> </w:t>
      </w:r>
      <w:r w:rsidR="0027144F" w:rsidRPr="00CE0BF7">
        <w:t>20</w:t>
      </w:r>
      <w:r w:rsidR="005F3025" w:rsidRPr="00CE0BF7">
        <w:t>1</w:t>
      </w:r>
      <w:r>
        <w:t>9</w:t>
      </w:r>
      <w:r w:rsidR="0041408D">
        <w:tab/>
        <w:t>(</w:t>
      </w:r>
      <w:r w:rsidR="0041408D" w:rsidRPr="009E642D">
        <w:t>Revision</w:t>
      </w:r>
      <w:r w:rsidR="0041408D">
        <w:t xml:space="preserve"> of </w:t>
      </w:r>
      <w:r w:rsidR="00760D10" w:rsidRPr="00760D10">
        <w:t>R1-1813653</w:t>
      </w:r>
      <w:r w:rsidR="00760D10">
        <w:t>)</w:t>
      </w:r>
    </w:p>
    <w:p w14:paraId="60A5317D" w14:textId="77777777" w:rsidR="00E90E49" w:rsidRPr="00CE0424" w:rsidRDefault="00E90E49" w:rsidP="00357380">
      <w:pPr>
        <w:pStyle w:val="3GPPHeader"/>
      </w:pPr>
    </w:p>
    <w:p w14:paraId="3C6869D1" w14:textId="70353C76" w:rsidR="00E90E49" w:rsidRPr="0083618F" w:rsidRDefault="00E90E49" w:rsidP="00311702">
      <w:pPr>
        <w:pStyle w:val="3GPPHeader"/>
        <w:rPr>
          <w:sz w:val="22"/>
          <w:szCs w:val="22"/>
          <w:lang w:val="en-US"/>
        </w:rPr>
      </w:pPr>
      <w:r w:rsidRPr="0083618F">
        <w:rPr>
          <w:sz w:val="22"/>
          <w:szCs w:val="22"/>
          <w:lang w:val="en-US"/>
        </w:rPr>
        <w:t>Agenda Item:</w:t>
      </w:r>
      <w:r w:rsidRPr="0083618F">
        <w:rPr>
          <w:sz w:val="22"/>
          <w:szCs w:val="22"/>
          <w:lang w:val="en-US"/>
        </w:rPr>
        <w:tab/>
      </w:r>
      <w:r w:rsidR="002F7E7A" w:rsidRPr="0083618F">
        <w:rPr>
          <w:sz w:val="22"/>
          <w:szCs w:val="22"/>
          <w:lang w:val="en-US"/>
        </w:rPr>
        <w:t>7.2.4.5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B0A4349" w:rsidR="00E90E49" w:rsidRPr="00CE0424" w:rsidRDefault="003D3C45" w:rsidP="00311702">
      <w:pPr>
        <w:pStyle w:val="3GPPHeader"/>
        <w:rPr>
          <w:sz w:val="22"/>
          <w:szCs w:val="22"/>
        </w:rPr>
      </w:pPr>
      <w:r>
        <w:rPr>
          <w:sz w:val="22"/>
          <w:szCs w:val="22"/>
        </w:rPr>
        <w:t>Title:</w:t>
      </w:r>
      <w:r w:rsidR="00E90E49" w:rsidRPr="00CE0424">
        <w:rPr>
          <w:sz w:val="22"/>
          <w:szCs w:val="22"/>
        </w:rPr>
        <w:tab/>
      </w:r>
      <w:r w:rsidR="00EC28BD">
        <w:rPr>
          <w:sz w:val="22"/>
          <w:szCs w:val="22"/>
        </w:rPr>
        <w:t>In-device coexistence for SL V2X</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3618F">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307345A5" w14:textId="3F10759A" w:rsidR="00872918" w:rsidRPr="001353A7" w:rsidRDefault="00872918" w:rsidP="00872918">
      <w:pPr>
        <w:pStyle w:val="BodyText"/>
        <w:rPr>
          <w:lang w:val="en-US"/>
        </w:rPr>
      </w:pPr>
      <w:r w:rsidRPr="001353A7">
        <w:rPr>
          <w:lang w:val="en-US"/>
        </w:rPr>
        <w:t xml:space="preserve">RAN plenary #80 approved a study item on NR V2X </w:t>
      </w:r>
      <w:r w:rsidRPr="005D66A0">
        <w:fldChar w:fldCharType="begin"/>
      </w:r>
      <w:r w:rsidRPr="001353A7">
        <w:rPr>
          <w:lang w:val="en-US"/>
        </w:rPr>
        <w:instrText xml:space="preserve"> REF _Ref517523976 \r \h  \* MERGEFORMAT </w:instrText>
      </w:r>
      <w:r w:rsidRPr="005D66A0">
        <w:fldChar w:fldCharType="separate"/>
      </w:r>
      <w:r w:rsidR="00863A68">
        <w:rPr>
          <w:lang w:val="en-US"/>
        </w:rPr>
        <w:t>[1]</w:t>
      </w:r>
      <w:r w:rsidRPr="005D66A0">
        <w:fldChar w:fldCharType="end"/>
      </w:r>
      <w:r w:rsidRPr="001353A7">
        <w:rPr>
          <w:lang w:val="en-US"/>
        </w:rPr>
        <w:t>. This study item targets, among other objectives, the mechanisms for coexistence of NR V2X, detailed as below:</w:t>
      </w:r>
    </w:p>
    <w:tbl>
      <w:tblPr>
        <w:tblStyle w:val="TableGrid"/>
        <w:tblW w:w="0" w:type="auto"/>
        <w:tblInd w:w="45" w:type="dxa"/>
        <w:tblLook w:val="04A0" w:firstRow="1" w:lastRow="0" w:firstColumn="1" w:lastColumn="0" w:noHBand="0" w:noVBand="1"/>
      </w:tblPr>
      <w:tblGrid>
        <w:gridCol w:w="9584"/>
      </w:tblGrid>
      <w:tr w:rsidR="00872918" w:rsidRPr="001353A7" w14:paraId="3B93E835" w14:textId="77777777" w:rsidTr="003E5DDE">
        <w:tc>
          <w:tcPr>
            <w:tcW w:w="9629" w:type="dxa"/>
          </w:tcPr>
          <w:p w14:paraId="51439E56" w14:textId="77777777" w:rsidR="00872918" w:rsidRPr="005D66A0" w:rsidRDefault="00872918" w:rsidP="003E5DDE">
            <w:pPr>
              <w:ind w:left="45"/>
              <w:rPr>
                <w:i/>
                <w:lang w:val="en-US" w:eastAsia="ko-KR"/>
              </w:rPr>
            </w:pPr>
            <w:r w:rsidRPr="005D66A0">
              <w:rPr>
                <w:b/>
                <w:bCs/>
                <w:i/>
                <w:lang w:val="en-US" w:eastAsia="ko-KR"/>
              </w:rPr>
              <w:t>Coexistence [RAN1]:</w:t>
            </w:r>
            <w:r w:rsidRPr="005D66A0">
              <w:rPr>
                <w:i/>
                <w:lang w:val="en-US" w:eastAsia="ko-KR"/>
              </w:rPr>
              <w:t xml:space="preserve">  </w:t>
            </w:r>
          </w:p>
          <w:p w14:paraId="2A1E2974" w14:textId="77777777" w:rsidR="00872918" w:rsidRPr="005D66A0" w:rsidRDefault="00872918" w:rsidP="00872918">
            <w:pPr>
              <w:pStyle w:val="ListParagraph"/>
              <w:numPr>
                <w:ilvl w:val="0"/>
                <w:numId w:val="31"/>
              </w:numPr>
              <w:overflowPunct/>
              <w:autoSpaceDE/>
              <w:autoSpaceDN/>
              <w:adjustRightInd/>
              <w:spacing w:line="259" w:lineRule="auto"/>
              <w:contextualSpacing/>
              <w:jc w:val="both"/>
              <w:textAlignment w:val="auto"/>
              <w:rPr>
                <w:rFonts w:ascii="Times New Roman" w:hAnsi="Times New Roman"/>
                <w:i/>
                <w:sz w:val="20"/>
                <w:szCs w:val="20"/>
                <w:lang w:val="en-US"/>
              </w:rPr>
            </w:pPr>
            <w:r w:rsidRPr="005D66A0">
              <w:rPr>
                <w:rFonts w:ascii="Times New Roman" w:hAnsi="Times New Roman"/>
                <w:i/>
                <w:sz w:val="20"/>
                <w:szCs w:val="20"/>
                <w:lang w:val="en-US" w:eastAsia="ko-KR"/>
              </w:rPr>
              <w:t xml:space="preserve">In-device coexistence: Study </w:t>
            </w:r>
            <w:r w:rsidRPr="005D66A0">
              <w:rPr>
                <w:rFonts w:ascii="Times New Roman" w:hAnsi="Times New Roman"/>
                <w:i/>
                <w:sz w:val="20"/>
                <w:szCs w:val="20"/>
                <w:lang w:val="en-US" w:eastAsia="zh-CN"/>
              </w:rPr>
              <w:t xml:space="preserve">the feasibility of the coexistence </w:t>
            </w:r>
            <w:r w:rsidRPr="005D66A0">
              <w:rPr>
                <w:rFonts w:ascii="Times New Roman" w:hAnsi="Times New Roman"/>
                <w:i/>
                <w:sz w:val="20"/>
                <w:szCs w:val="20"/>
                <w:lang w:val="en-US" w:eastAsia="ko-KR"/>
              </w:rPr>
              <w:t>mechanisms</w:t>
            </w:r>
            <w:r w:rsidRPr="005D66A0">
              <w:rPr>
                <w:rFonts w:ascii="Times New Roman" w:hAnsi="Times New Roman"/>
                <w:i/>
                <w:sz w:val="20"/>
                <w:szCs w:val="20"/>
                <w:lang w:val="en-US" w:eastAsia="zh-CN"/>
              </w:rPr>
              <w:t xml:space="preserve"> when NR sidelink and LTE sidelink technologies are equipped in the same vehicle for the ‘not co-channel’ scenario</w:t>
            </w:r>
            <w:r w:rsidRPr="005D66A0">
              <w:rPr>
                <w:rFonts w:ascii="Times New Roman" w:hAnsi="Times New Roman"/>
                <w:i/>
                <w:sz w:val="20"/>
                <w:szCs w:val="20"/>
                <w:lang w:val="en-US"/>
              </w:rPr>
              <w:t xml:space="preserve">: </w:t>
            </w:r>
          </w:p>
          <w:p w14:paraId="6229034E" w14:textId="77777777" w:rsidR="00872918" w:rsidRPr="005D66A0" w:rsidRDefault="00872918" w:rsidP="00872918">
            <w:pPr>
              <w:pStyle w:val="ListParagraph"/>
              <w:numPr>
                <w:ilvl w:val="0"/>
                <w:numId w:val="31"/>
              </w:numPr>
              <w:overflowPunct/>
              <w:autoSpaceDE/>
              <w:autoSpaceDN/>
              <w:adjustRightInd/>
              <w:spacing w:line="259" w:lineRule="auto"/>
              <w:contextualSpacing/>
              <w:jc w:val="both"/>
              <w:textAlignment w:val="auto"/>
              <w:rPr>
                <w:rFonts w:ascii="Times New Roman" w:hAnsi="Times New Roman"/>
                <w:i/>
                <w:sz w:val="20"/>
                <w:szCs w:val="20"/>
                <w:lang w:val="en-US"/>
              </w:rPr>
            </w:pPr>
            <w:r w:rsidRPr="005D66A0">
              <w:rPr>
                <w:rFonts w:ascii="Times New Roman" w:hAnsi="Times New Roman"/>
                <w:i/>
                <w:sz w:val="20"/>
                <w:szCs w:val="20"/>
                <w:lang w:val="en-US"/>
              </w:rPr>
              <w:t>Advanced V2X services provided by NR sidelink coexisting with V2X service provided by LTE sidelink in different channels (i.e., not co-channel).  Not co-channel could include both adjacent channel and channels that are sufficiently far apart.</w:t>
            </w:r>
          </w:p>
          <w:p w14:paraId="5A70C211" w14:textId="77777777" w:rsidR="00872918" w:rsidRPr="005D66A0" w:rsidRDefault="00872918" w:rsidP="003E5DDE">
            <w:pPr>
              <w:overflowPunct/>
              <w:autoSpaceDE/>
              <w:adjustRightInd/>
              <w:spacing w:after="0"/>
              <w:ind w:left="720"/>
              <w:contextualSpacing/>
              <w:jc w:val="both"/>
              <w:rPr>
                <w:i/>
                <w:szCs w:val="28"/>
                <w:lang w:val="en-US" w:eastAsia="ko-KR"/>
              </w:rPr>
            </w:pPr>
          </w:p>
          <w:p w14:paraId="32D1F43F" w14:textId="77777777" w:rsidR="00872918" w:rsidRPr="005D66A0" w:rsidRDefault="00872918" w:rsidP="003E5DDE">
            <w:pPr>
              <w:overflowPunct/>
              <w:autoSpaceDE/>
              <w:adjustRightInd/>
              <w:spacing w:after="0"/>
              <w:ind w:left="720"/>
              <w:contextualSpacing/>
              <w:jc w:val="both"/>
              <w:rPr>
                <w:b/>
                <w:bCs/>
                <w:i/>
                <w:lang w:val="en-US" w:eastAsia="ko-KR"/>
              </w:rPr>
            </w:pPr>
            <w:r w:rsidRPr="005D66A0">
              <w:rPr>
                <w:i/>
                <w:szCs w:val="28"/>
                <w:lang w:val="en-US" w:eastAsia="ko-KR"/>
              </w:rPr>
              <w:t>NOTE: It is assumed that any coexistence requirements and mechanisms of NR sidelink with non-3GPP technologies will not be defined by 3GPP.</w:t>
            </w:r>
          </w:p>
        </w:tc>
      </w:tr>
    </w:tbl>
    <w:p w14:paraId="75BEB6AF" w14:textId="77777777" w:rsidR="00872918" w:rsidRPr="0083618F" w:rsidRDefault="00872918" w:rsidP="00CE0424">
      <w:pPr>
        <w:pStyle w:val="BodyText"/>
        <w:rPr>
          <w:lang w:val="en-US"/>
        </w:rPr>
      </w:pPr>
    </w:p>
    <w:p w14:paraId="7C48702B" w14:textId="08CE8486" w:rsidR="00477768" w:rsidRDefault="00EC28BD" w:rsidP="00CE0424">
      <w:pPr>
        <w:pStyle w:val="BodyText"/>
      </w:pPr>
      <w:r>
        <w:t>In RAN1#95, the following agreements have been made on the topic of in-device coexistence:</w:t>
      </w:r>
    </w:p>
    <w:p w14:paraId="5E93DD73" w14:textId="69A35B3E" w:rsidR="00EC28BD" w:rsidRDefault="00EC28BD" w:rsidP="00CE0424">
      <w:pPr>
        <w:pStyle w:val="BodyText"/>
      </w:pPr>
    </w:p>
    <w:tbl>
      <w:tblPr>
        <w:tblStyle w:val="TableGrid"/>
        <w:tblW w:w="0" w:type="auto"/>
        <w:tblLook w:val="04A0" w:firstRow="1" w:lastRow="0" w:firstColumn="1" w:lastColumn="0" w:noHBand="0" w:noVBand="1"/>
      </w:tblPr>
      <w:tblGrid>
        <w:gridCol w:w="9629"/>
      </w:tblGrid>
      <w:tr w:rsidR="00EC28BD" w14:paraId="067DC240" w14:textId="77777777" w:rsidTr="00EC28BD">
        <w:tc>
          <w:tcPr>
            <w:tcW w:w="9629" w:type="dxa"/>
          </w:tcPr>
          <w:p w14:paraId="6FA52BB5" w14:textId="77777777" w:rsidR="00EC28BD" w:rsidRPr="00751F84" w:rsidRDefault="00EC28BD" w:rsidP="00EC28BD">
            <w:pPr>
              <w:rPr>
                <w:rFonts w:ascii="Arial" w:hAnsi="Arial" w:cs="Arial"/>
                <w:sz w:val="20"/>
                <w:szCs w:val="20"/>
              </w:rPr>
            </w:pPr>
            <w:r w:rsidRPr="00751F84">
              <w:rPr>
                <w:rFonts w:ascii="Arial" w:hAnsi="Arial" w:cs="Arial"/>
                <w:sz w:val="20"/>
                <w:szCs w:val="20"/>
                <w:highlight w:val="green"/>
              </w:rPr>
              <w:t>Agreements</w:t>
            </w:r>
            <w:r w:rsidRPr="00751F84">
              <w:rPr>
                <w:rFonts w:ascii="Arial" w:hAnsi="Arial" w:cs="Arial"/>
                <w:sz w:val="20"/>
                <w:szCs w:val="20"/>
              </w:rPr>
              <w:t>:</w:t>
            </w:r>
          </w:p>
          <w:p w14:paraId="2E8AA662" w14:textId="77777777" w:rsidR="00EC28BD" w:rsidRPr="00751F84" w:rsidRDefault="00EC28BD" w:rsidP="00EC28BD">
            <w:pPr>
              <w:numPr>
                <w:ilvl w:val="0"/>
                <w:numId w:val="23"/>
              </w:numPr>
              <w:overflowPunct/>
              <w:autoSpaceDE/>
              <w:autoSpaceDN/>
              <w:adjustRightInd/>
              <w:spacing w:after="0"/>
              <w:textAlignment w:val="auto"/>
              <w:rPr>
                <w:rFonts w:ascii="Arial" w:hAnsi="Arial" w:cs="Arial"/>
                <w:sz w:val="20"/>
                <w:szCs w:val="20"/>
              </w:rPr>
            </w:pPr>
            <w:r w:rsidRPr="00751F84">
              <w:rPr>
                <w:rFonts w:ascii="Arial" w:hAnsi="Arial" w:cs="Arial"/>
                <w:sz w:val="20"/>
                <w:szCs w:val="20"/>
              </w:rPr>
              <w:t xml:space="preserve">Consider solutions for sidelink coexistence for the following: </w:t>
            </w:r>
          </w:p>
          <w:p w14:paraId="181DB92C" w14:textId="77777777" w:rsidR="00EC28BD" w:rsidRPr="00751F84" w:rsidRDefault="00EC28BD" w:rsidP="00EC28BD">
            <w:pPr>
              <w:numPr>
                <w:ilvl w:val="1"/>
                <w:numId w:val="23"/>
              </w:numPr>
              <w:overflowPunct/>
              <w:autoSpaceDE/>
              <w:autoSpaceDN/>
              <w:adjustRightInd/>
              <w:spacing w:after="0"/>
              <w:textAlignment w:val="auto"/>
              <w:rPr>
                <w:rFonts w:ascii="Arial" w:hAnsi="Arial" w:cs="Arial"/>
                <w:sz w:val="20"/>
                <w:szCs w:val="20"/>
              </w:rPr>
            </w:pPr>
            <w:r w:rsidRPr="00751F84">
              <w:rPr>
                <w:rFonts w:ascii="Arial" w:hAnsi="Arial" w:cs="Arial"/>
                <w:sz w:val="20"/>
                <w:szCs w:val="20"/>
              </w:rPr>
              <w:t>Potential LTE V2X Tx and NR V2X Tx</w:t>
            </w:r>
          </w:p>
          <w:p w14:paraId="47558FF8" w14:textId="77777777" w:rsidR="00EC28BD" w:rsidRPr="00751F84" w:rsidRDefault="00EC28BD" w:rsidP="00EC28BD">
            <w:pPr>
              <w:numPr>
                <w:ilvl w:val="1"/>
                <w:numId w:val="23"/>
              </w:numPr>
              <w:overflowPunct/>
              <w:autoSpaceDE/>
              <w:autoSpaceDN/>
              <w:adjustRightInd/>
              <w:spacing w:after="0"/>
              <w:textAlignment w:val="auto"/>
              <w:rPr>
                <w:rFonts w:ascii="Arial" w:hAnsi="Arial" w:cs="Arial"/>
                <w:sz w:val="20"/>
                <w:szCs w:val="20"/>
              </w:rPr>
            </w:pPr>
            <w:r w:rsidRPr="00751F84">
              <w:rPr>
                <w:rFonts w:ascii="Arial" w:hAnsi="Arial" w:cs="Arial"/>
                <w:sz w:val="20"/>
                <w:szCs w:val="20"/>
              </w:rPr>
              <w:t>Potential LTE V2X Tx and NR V2X Rx</w:t>
            </w:r>
          </w:p>
          <w:p w14:paraId="388105C5" w14:textId="77777777" w:rsidR="00EC28BD" w:rsidRPr="00751F84" w:rsidRDefault="00EC28BD" w:rsidP="00EC28BD">
            <w:pPr>
              <w:numPr>
                <w:ilvl w:val="1"/>
                <w:numId w:val="23"/>
              </w:numPr>
              <w:overflowPunct/>
              <w:autoSpaceDE/>
              <w:autoSpaceDN/>
              <w:adjustRightInd/>
              <w:spacing w:after="0"/>
              <w:textAlignment w:val="auto"/>
              <w:rPr>
                <w:rFonts w:ascii="Arial" w:hAnsi="Arial" w:cs="Arial"/>
                <w:sz w:val="20"/>
                <w:szCs w:val="20"/>
              </w:rPr>
            </w:pPr>
            <w:r w:rsidRPr="00751F84">
              <w:rPr>
                <w:rFonts w:ascii="Arial" w:hAnsi="Arial" w:cs="Arial"/>
                <w:sz w:val="20"/>
                <w:szCs w:val="20"/>
              </w:rPr>
              <w:t>Potential LTE V2X Rx and NR V2X Tx</w:t>
            </w:r>
          </w:p>
          <w:p w14:paraId="48C726E4" w14:textId="77777777" w:rsidR="00EC28BD" w:rsidRPr="00751F84" w:rsidRDefault="00EC28BD" w:rsidP="00EC28BD">
            <w:pPr>
              <w:numPr>
                <w:ilvl w:val="0"/>
                <w:numId w:val="23"/>
              </w:numPr>
              <w:overflowPunct/>
              <w:autoSpaceDE/>
              <w:autoSpaceDN/>
              <w:adjustRightInd/>
              <w:spacing w:after="0"/>
              <w:textAlignment w:val="auto"/>
              <w:rPr>
                <w:rFonts w:ascii="Arial" w:hAnsi="Arial" w:cs="Arial"/>
                <w:sz w:val="20"/>
                <w:szCs w:val="20"/>
                <w:lang w:eastAsia="x-none"/>
              </w:rPr>
            </w:pPr>
            <w:r w:rsidRPr="00751F84">
              <w:rPr>
                <w:rFonts w:ascii="Arial" w:hAnsi="Arial" w:cs="Arial"/>
                <w:sz w:val="20"/>
                <w:szCs w:val="20"/>
              </w:rPr>
              <w:t>FFS the case of potential LTE V2X Rx and NR V2X Rx, e.g., whether or not it can be handled implementation</w:t>
            </w:r>
          </w:p>
          <w:p w14:paraId="1B2BC7E1" w14:textId="77777777" w:rsidR="00EC28BD" w:rsidRPr="00751F84" w:rsidRDefault="00EC28BD" w:rsidP="00EC28BD">
            <w:pPr>
              <w:rPr>
                <w:rFonts w:ascii="Arial" w:hAnsi="Arial" w:cs="Arial"/>
                <w:sz w:val="20"/>
                <w:szCs w:val="20"/>
                <w:lang w:eastAsia="x-none"/>
              </w:rPr>
            </w:pPr>
          </w:p>
          <w:p w14:paraId="02BEA3E2" w14:textId="77777777" w:rsidR="00EC28BD" w:rsidRPr="00751F84" w:rsidRDefault="00EC28BD" w:rsidP="00EC28BD">
            <w:pPr>
              <w:rPr>
                <w:rFonts w:ascii="Arial" w:hAnsi="Arial" w:cs="Arial"/>
                <w:sz w:val="20"/>
                <w:szCs w:val="20"/>
                <w:lang w:eastAsia="x-none"/>
              </w:rPr>
            </w:pPr>
            <w:r w:rsidRPr="00751F84">
              <w:rPr>
                <w:rFonts w:ascii="Arial" w:hAnsi="Arial" w:cs="Arial"/>
                <w:sz w:val="20"/>
                <w:szCs w:val="20"/>
                <w:highlight w:val="green"/>
                <w:lang w:eastAsia="x-none"/>
              </w:rPr>
              <w:t>Agreements</w:t>
            </w:r>
            <w:r w:rsidRPr="00751F84">
              <w:rPr>
                <w:rFonts w:ascii="Arial" w:hAnsi="Arial" w:cs="Arial"/>
                <w:sz w:val="20"/>
                <w:szCs w:val="20"/>
                <w:lang w:eastAsia="x-none"/>
              </w:rPr>
              <w:t>:</w:t>
            </w:r>
          </w:p>
          <w:p w14:paraId="66A1D3D1" w14:textId="77777777" w:rsidR="00EC28BD" w:rsidRPr="00751F84" w:rsidRDefault="00EC28BD" w:rsidP="00EC28BD">
            <w:pPr>
              <w:rPr>
                <w:rFonts w:ascii="Arial" w:hAnsi="Arial" w:cs="Arial"/>
                <w:sz w:val="20"/>
                <w:szCs w:val="20"/>
                <w:lang w:eastAsia="zh-CN"/>
              </w:rPr>
            </w:pPr>
            <w:r w:rsidRPr="00751F84">
              <w:rPr>
                <w:rFonts w:ascii="Arial" w:hAnsi="Arial" w:cs="Arial"/>
                <w:sz w:val="20"/>
                <w:szCs w:val="20"/>
                <w:lang w:eastAsia="zh-CN"/>
              </w:rPr>
              <w:t>RAN1 will identify both TDM and FDM solutions for coexistence. The specific support for each solution is FFS.</w:t>
            </w:r>
          </w:p>
          <w:p w14:paraId="6947D40A" w14:textId="77777777" w:rsidR="00EC28BD" w:rsidRPr="00751F84" w:rsidRDefault="00EC28BD" w:rsidP="00EC28BD">
            <w:pPr>
              <w:rPr>
                <w:rFonts w:ascii="Arial" w:hAnsi="Arial" w:cs="Arial"/>
                <w:sz w:val="20"/>
                <w:szCs w:val="20"/>
                <w:lang w:eastAsia="zh-CN"/>
              </w:rPr>
            </w:pPr>
            <w:r w:rsidRPr="00751F84">
              <w:rPr>
                <w:rFonts w:ascii="Arial" w:hAnsi="Arial" w:cs="Arial"/>
                <w:sz w:val="20"/>
                <w:szCs w:val="20"/>
                <w:lang w:eastAsia="zh-CN"/>
              </w:rPr>
              <w:t xml:space="preserve">For FDM solutions: </w:t>
            </w:r>
          </w:p>
          <w:p w14:paraId="039E6FAF" w14:textId="77777777" w:rsidR="00EC28BD" w:rsidRPr="00751F84" w:rsidRDefault="00EC28BD" w:rsidP="00EC28BD">
            <w:pPr>
              <w:pStyle w:val="ListParagraph"/>
              <w:numPr>
                <w:ilvl w:val="0"/>
                <w:numId w:val="24"/>
              </w:numPr>
              <w:overflowPunct/>
              <w:autoSpaceDE/>
              <w:autoSpaceDN/>
              <w:adjustRightInd/>
              <w:spacing w:after="180"/>
              <w:contextualSpacing/>
              <w:textAlignment w:val="auto"/>
              <w:rPr>
                <w:rFonts w:ascii="Arial" w:hAnsi="Arial" w:cs="Arial"/>
                <w:sz w:val="20"/>
                <w:szCs w:val="20"/>
              </w:rPr>
            </w:pPr>
            <w:r w:rsidRPr="00751F84">
              <w:rPr>
                <w:rFonts w:ascii="Arial" w:hAnsi="Arial" w:cs="Arial"/>
                <w:sz w:val="20"/>
                <w:szCs w:val="20"/>
              </w:rPr>
              <w:t>For both dynamic and semi-static power allocation solutions, RAN1 assumes synchronization between NR and LTE V2X sidelinks, for a NR V2X UE when NR and LTE V2X sidelinks are intra-band</w:t>
            </w:r>
          </w:p>
          <w:p w14:paraId="702F3D33" w14:textId="77777777" w:rsidR="00EC28BD" w:rsidRPr="00751F84" w:rsidRDefault="00EC28BD" w:rsidP="00EC28BD">
            <w:pPr>
              <w:pStyle w:val="ListParagraph"/>
              <w:numPr>
                <w:ilvl w:val="0"/>
                <w:numId w:val="24"/>
              </w:numPr>
              <w:overflowPunct/>
              <w:autoSpaceDE/>
              <w:autoSpaceDN/>
              <w:adjustRightInd/>
              <w:spacing w:after="180"/>
              <w:contextualSpacing/>
              <w:textAlignment w:val="auto"/>
              <w:rPr>
                <w:rFonts w:ascii="Arial" w:hAnsi="Arial" w:cs="Arial"/>
                <w:sz w:val="20"/>
                <w:szCs w:val="20"/>
              </w:rPr>
            </w:pPr>
            <w:r w:rsidRPr="00751F84">
              <w:rPr>
                <w:rFonts w:ascii="Arial" w:hAnsi="Arial" w:cs="Arial"/>
                <w:sz w:val="20"/>
                <w:szCs w:val="20"/>
              </w:rPr>
              <w:t>The case of inter-band is FFS</w:t>
            </w:r>
          </w:p>
          <w:p w14:paraId="61C2BA9B" w14:textId="5F4BC94F" w:rsidR="00EC28BD" w:rsidRPr="00751F84" w:rsidRDefault="00EC28BD" w:rsidP="00EC28BD">
            <w:pPr>
              <w:pStyle w:val="BodyText"/>
              <w:rPr>
                <w:rFonts w:cs="Arial"/>
                <w:sz w:val="20"/>
                <w:szCs w:val="20"/>
              </w:rPr>
            </w:pPr>
            <w:r w:rsidRPr="00751F84">
              <w:rPr>
                <w:rFonts w:cs="Arial"/>
                <w:sz w:val="20"/>
                <w:szCs w:val="20"/>
              </w:rPr>
              <w:t>Note: If the identified solutions can be applied to systems that are not synchronized, then RAN1 may revisit this assumption.</w:t>
            </w:r>
          </w:p>
        </w:tc>
      </w:tr>
    </w:tbl>
    <w:p w14:paraId="3AF04AE4" w14:textId="77777777" w:rsidR="00EC28BD" w:rsidRDefault="00EC28BD" w:rsidP="00CE0424">
      <w:pPr>
        <w:pStyle w:val="BodyText"/>
      </w:pPr>
    </w:p>
    <w:p w14:paraId="034C3308" w14:textId="455D736D" w:rsidR="00EC28BD" w:rsidRDefault="00EC28BD" w:rsidP="00CE0424">
      <w:pPr>
        <w:pStyle w:val="BodyText"/>
      </w:pPr>
      <w:r>
        <w:t xml:space="preserve">In the present contribution we </w:t>
      </w:r>
      <w:r w:rsidR="00754758">
        <w:t xml:space="preserve">present </w:t>
      </w:r>
      <w:r>
        <w:t xml:space="preserve">further discussion on several aspects of solutions for </w:t>
      </w:r>
      <w:r w:rsidR="00413ECC">
        <w:t xml:space="preserve">the </w:t>
      </w:r>
      <w:r>
        <w:t>in-device coexistence.</w:t>
      </w:r>
    </w:p>
    <w:p w14:paraId="020415C4" w14:textId="7A74BADB" w:rsidR="004000E8" w:rsidRDefault="00230D18" w:rsidP="00CE0424">
      <w:pPr>
        <w:pStyle w:val="Heading1"/>
      </w:pPr>
      <w:bookmarkStart w:id="0" w:name="_Ref178064866"/>
      <w:r>
        <w:t>2</w:t>
      </w:r>
      <w:r>
        <w:tab/>
      </w:r>
      <w:bookmarkEnd w:id="0"/>
      <w:r w:rsidR="00754758">
        <w:t>Mechanisms for in-device coexistence</w:t>
      </w:r>
    </w:p>
    <w:p w14:paraId="43E504B8" w14:textId="656D3EEE" w:rsidR="00715A08" w:rsidRPr="00863A68" w:rsidRDefault="00715A08" w:rsidP="0083618F">
      <w:pPr>
        <w:jc w:val="both"/>
        <w:rPr>
          <w:rFonts w:cs="Arial"/>
        </w:rPr>
      </w:pPr>
      <w:r w:rsidRPr="0083618F">
        <w:rPr>
          <w:rFonts w:ascii="Arial" w:hAnsi="Arial" w:cs="Arial"/>
        </w:rPr>
        <w:t xml:space="preserve">Given that both TDM-based and FDM-based solutions are agreed to be supported by RAN1, the relevant question is whether every UE needs to support both solutions. To this end we believe that it is up to UE to decide which solution to support, depending on its capability. </w:t>
      </w:r>
    </w:p>
    <w:p w14:paraId="5D79E9AE" w14:textId="183084D3" w:rsidR="00715A08" w:rsidRPr="00863A68" w:rsidRDefault="00715A08" w:rsidP="00715A08">
      <w:pPr>
        <w:pStyle w:val="Proposal"/>
        <w:overflowPunct/>
        <w:autoSpaceDE/>
        <w:autoSpaceDN/>
        <w:adjustRightInd/>
        <w:spacing w:line="259" w:lineRule="auto"/>
        <w:jc w:val="left"/>
        <w:textAlignment w:val="auto"/>
        <w:rPr>
          <w:rFonts w:cs="Arial"/>
          <w:lang w:val="en-US"/>
        </w:rPr>
      </w:pPr>
      <w:bookmarkStart w:id="1" w:name="_Toc534993319"/>
      <w:r w:rsidRPr="00863A68">
        <w:rPr>
          <w:rFonts w:cs="Arial"/>
          <w:lang w:val="en-US"/>
        </w:rPr>
        <w:t>The support of TDM-based and/or FDM-based solution is based on UE capability.</w:t>
      </w:r>
      <w:bookmarkEnd w:id="1"/>
    </w:p>
    <w:p w14:paraId="7C4FF6FF" w14:textId="6208FB7B" w:rsidR="0015264C" w:rsidRPr="0083618F" w:rsidRDefault="0015264C" w:rsidP="0083618F">
      <w:pPr>
        <w:jc w:val="both"/>
        <w:rPr>
          <w:rFonts w:cs="Arial"/>
          <w:lang w:val="en-US"/>
        </w:rPr>
      </w:pPr>
      <w:r w:rsidRPr="0083618F">
        <w:rPr>
          <w:rFonts w:ascii="Arial" w:hAnsi="Arial" w:cs="Arial"/>
          <w:lang w:val="en-US"/>
        </w:rPr>
        <w:t>In some cases, the UE can report its capability to the network and the network can configure whether a TDM-based or FD</w:t>
      </w:r>
      <w:r w:rsidR="00C15E03">
        <w:rPr>
          <w:rFonts w:ascii="Arial" w:hAnsi="Arial" w:cs="Arial"/>
          <w:lang w:val="en-US"/>
        </w:rPr>
        <w:t>M</w:t>
      </w:r>
      <w:r w:rsidRPr="0083618F">
        <w:rPr>
          <w:rFonts w:ascii="Arial" w:hAnsi="Arial" w:cs="Arial"/>
          <w:lang w:val="en-US"/>
        </w:rPr>
        <w:t xml:space="preserve">-based </w:t>
      </w:r>
      <w:r w:rsidR="00C15E03">
        <w:rPr>
          <w:rFonts w:ascii="Arial" w:hAnsi="Arial" w:cs="Arial"/>
          <w:lang w:val="en-US"/>
        </w:rPr>
        <w:t xml:space="preserve">solution </w:t>
      </w:r>
      <w:r w:rsidRPr="0083618F">
        <w:rPr>
          <w:rFonts w:ascii="Arial" w:hAnsi="Arial" w:cs="Arial"/>
          <w:lang w:val="en-US"/>
        </w:rPr>
        <w:t xml:space="preserve">should be supported in the UE, depending on both the UE capability and </w:t>
      </w:r>
      <w:r>
        <w:rPr>
          <w:rFonts w:ascii="Arial" w:hAnsi="Arial" w:cs="Arial"/>
          <w:lang w:val="en-US"/>
        </w:rPr>
        <w:t xml:space="preserve">other aspects such as the </w:t>
      </w:r>
      <w:r w:rsidRPr="0083618F">
        <w:rPr>
          <w:rFonts w:ascii="Arial" w:hAnsi="Arial" w:cs="Arial"/>
          <w:lang w:val="en-US"/>
        </w:rPr>
        <w:t xml:space="preserve">resource </w:t>
      </w:r>
      <w:r>
        <w:rPr>
          <w:rFonts w:ascii="Arial" w:hAnsi="Arial" w:cs="Arial"/>
          <w:lang w:val="en-US"/>
        </w:rPr>
        <w:t>pool configurations</w:t>
      </w:r>
      <w:r w:rsidRPr="0083618F">
        <w:rPr>
          <w:rFonts w:ascii="Arial" w:hAnsi="Arial" w:cs="Arial"/>
          <w:lang w:val="en-US"/>
        </w:rPr>
        <w:t xml:space="preserve"> in the network.</w:t>
      </w:r>
    </w:p>
    <w:p w14:paraId="2B141458" w14:textId="523C8C81" w:rsidR="00715A08" w:rsidRPr="0083618F" w:rsidRDefault="0015264C" w:rsidP="0083618F">
      <w:pPr>
        <w:pStyle w:val="Proposal"/>
        <w:overflowPunct/>
        <w:autoSpaceDE/>
        <w:autoSpaceDN/>
        <w:adjustRightInd/>
        <w:spacing w:line="259" w:lineRule="auto"/>
        <w:textAlignment w:val="auto"/>
        <w:rPr>
          <w:rFonts w:cs="Arial"/>
          <w:lang w:val="en-US"/>
        </w:rPr>
      </w:pPr>
      <w:bookmarkStart w:id="2" w:name="_Toc534993320"/>
      <w:r>
        <w:rPr>
          <w:rFonts w:cs="Arial"/>
          <w:lang w:val="en-US"/>
        </w:rPr>
        <w:t>UEs in a network can report their capability to the network to assist the network in configuring a TDM-based or FDM-based approach for the UEs</w:t>
      </w:r>
      <w:r w:rsidRPr="00C77738">
        <w:rPr>
          <w:rFonts w:cs="Arial"/>
          <w:lang w:val="en-US"/>
        </w:rPr>
        <w:t>.</w:t>
      </w:r>
      <w:bookmarkEnd w:id="2"/>
    </w:p>
    <w:p w14:paraId="71C3A24B" w14:textId="4BF1F01B" w:rsidR="00F63950" w:rsidRDefault="00230D18" w:rsidP="00F63950">
      <w:pPr>
        <w:pStyle w:val="Heading2"/>
      </w:pPr>
      <w:bookmarkStart w:id="3" w:name="_Ref534208729"/>
      <w:r>
        <w:t>2.1</w:t>
      </w:r>
      <w:r>
        <w:tab/>
      </w:r>
      <w:r w:rsidR="00790799" w:rsidRPr="000F7F25">
        <w:t>TDM-based solution</w:t>
      </w:r>
      <w:bookmarkEnd w:id="3"/>
    </w:p>
    <w:p w14:paraId="0013EBB8" w14:textId="0CFCE5BE" w:rsidR="00790799" w:rsidRDefault="00790799" w:rsidP="00790799">
      <w:pPr>
        <w:pStyle w:val="TF"/>
        <w:jc w:val="both"/>
        <w:rPr>
          <w:b w:val="0"/>
          <w:lang w:val="en-GB"/>
        </w:rPr>
      </w:pPr>
      <w:r>
        <w:rPr>
          <w:b w:val="0"/>
          <w:lang w:val="en-GB"/>
        </w:rPr>
        <w:t xml:space="preserve">For an efficient coexistence of the NR SL and LTE SL it is important that some inter-RAT coordination mechanism is specified. We see that the long-term time-scale coordination is more suitable for periodic type of traffics such as traffic of safety-related services, where the UE can expect some regular patterns of packet arrivals from the higher layers and therefore can plan the transmissions in each RAT. This type of coordination is hard to achieve for non-periodic and latency-critical packets, which are expected to be more common in the advanced services supported by NR V2X. In this case short-term solutions are more suitable and here the issue of overlapping in time of SL transmissions from the two RATs is critical. </w:t>
      </w:r>
    </w:p>
    <w:p w14:paraId="1746998F" w14:textId="77777777" w:rsidR="00790799" w:rsidRPr="00E62A6F" w:rsidRDefault="00790799" w:rsidP="00790799">
      <w:pPr>
        <w:pStyle w:val="Observation"/>
        <w:overflowPunct/>
        <w:autoSpaceDE/>
        <w:autoSpaceDN/>
        <w:adjustRightInd/>
        <w:spacing w:line="259" w:lineRule="auto"/>
        <w:jc w:val="left"/>
        <w:textAlignment w:val="auto"/>
        <w:rPr>
          <w:lang w:val="en-US"/>
        </w:rPr>
      </w:pPr>
      <w:bookmarkStart w:id="4" w:name="_Toc528954275"/>
      <w:bookmarkStart w:id="5" w:name="_Toc534993329"/>
      <w:r w:rsidRPr="00E62A6F">
        <w:rPr>
          <w:lang w:val="en-US"/>
        </w:rPr>
        <w:t>Both long-term and short-term coordination solutions are needed.</w:t>
      </w:r>
      <w:bookmarkEnd w:id="4"/>
      <w:bookmarkEnd w:id="5"/>
    </w:p>
    <w:p w14:paraId="0A7DC0C5" w14:textId="77777777" w:rsidR="00790799" w:rsidRDefault="00790799" w:rsidP="00790799">
      <w:pPr>
        <w:pStyle w:val="TF"/>
        <w:jc w:val="both"/>
        <w:rPr>
          <w:b w:val="0"/>
          <w:lang w:val="en-GB"/>
        </w:rPr>
      </w:pPr>
      <w:r>
        <w:rPr>
          <w:b w:val="0"/>
          <w:lang w:val="en-GB"/>
        </w:rPr>
        <w:t xml:space="preserve">In case an NR SL transmission overlaps in time with an LTE transmission we anticipate that some kind of prioritization should be considered. It is tempting to define some prioritization rules based on QoS parameters such as priority of the packets to be transmitted in the two RATs or how congested the RATs are. However, we believe that it is not possible to define such rules now when the QoS framework for NR V2X has not been developed. </w:t>
      </w:r>
    </w:p>
    <w:p w14:paraId="15590115" w14:textId="77777777" w:rsidR="00790799" w:rsidRPr="00E62A6F" w:rsidRDefault="00790799" w:rsidP="00790799">
      <w:pPr>
        <w:pStyle w:val="Proposal"/>
        <w:overflowPunct/>
        <w:autoSpaceDE/>
        <w:autoSpaceDN/>
        <w:adjustRightInd/>
        <w:spacing w:line="259" w:lineRule="auto"/>
        <w:jc w:val="left"/>
        <w:textAlignment w:val="auto"/>
        <w:rPr>
          <w:lang w:val="en-US"/>
        </w:rPr>
      </w:pPr>
      <w:bookmarkStart w:id="6" w:name="_Toc528954278"/>
      <w:bookmarkStart w:id="7" w:name="_Toc534993321"/>
      <w:r w:rsidRPr="00E62A6F">
        <w:rPr>
          <w:lang w:val="en-US"/>
        </w:rPr>
        <w:t>RAT prioritization for TDM-based coexistence is only considered when the QoS framework for NR V2X has been developed.</w:t>
      </w:r>
      <w:bookmarkEnd w:id="6"/>
      <w:bookmarkEnd w:id="7"/>
    </w:p>
    <w:p w14:paraId="128B36CD" w14:textId="05860FD2" w:rsidR="00790799" w:rsidRDefault="00790799">
      <w:pPr>
        <w:pStyle w:val="TF"/>
        <w:jc w:val="both"/>
        <w:rPr>
          <w:b w:val="0"/>
          <w:lang w:val="en-GB"/>
        </w:rPr>
      </w:pPr>
      <w:r>
        <w:rPr>
          <w:b w:val="0"/>
          <w:lang w:val="en-GB"/>
        </w:rPr>
        <w:t xml:space="preserve">One important aspect of the coexistence is the time alignment of the two RATs. </w:t>
      </w:r>
      <w:r w:rsidR="009C749E">
        <w:rPr>
          <w:b w:val="0"/>
          <w:lang w:val="en-GB"/>
        </w:rPr>
        <w:t>Slot</w:t>
      </w:r>
      <w:r>
        <w:rPr>
          <w:b w:val="0"/>
          <w:lang w:val="en-GB"/>
        </w:rPr>
        <w:t xml:space="preserve">-level alignment, meaning that the starting point of slots in NR and subframes in LTE are aligned, </w:t>
      </w:r>
      <w:r w:rsidR="009C749E">
        <w:rPr>
          <w:b w:val="0"/>
          <w:lang w:val="en-GB"/>
        </w:rPr>
        <w:t xml:space="preserve">is necessary for TDM coexistence. The alternative would require skipping subframes, etc. and would be largely inefficient. DFN alignment is </w:t>
      </w:r>
      <w:r w:rsidR="00863A68">
        <w:rPr>
          <w:b w:val="0"/>
          <w:lang w:val="en-GB"/>
        </w:rPr>
        <w:t>not strictly needed</w:t>
      </w:r>
      <w:r w:rsidR="009C749E">
        <w:rPr>
          <w:b w:val="0"/>
          <w:lang w:val="en-GB"/>
        </w:rPr>
        <w:t xml:space="preserve">, only knowledge of DFN values in both carriers is required. However, the implications of assuming DFN alignment once slot-boundary alignment is </w:t>
      </w:r>
      <w:r w:rsidR="00E01C21">
        <w:rPr>
          <w:b w:val="0"/>
          <w:lang w:val="en-GB"/>
        </w:rPr>
        <w:t>given</w:t>
      </w:r>
      <w:r w:rsidR="009C749E">
        <w:rPr>
          <w:b w:val="0"/>
          <w:lang w:val="en-GB"/>
        </w:rPr>
        <w:t xml:space="preserve"> are small.</w:t>
      </w:r>
      <w:r w:rsidR="00E01C21">
        <w:rPr>
          <w:b w:val="0"/>
          <w:lang w:val="en-GB"/>
        </w:rPr>
        <w:t xml:space="preserve"> Moreover, it may lead to simplified design in terms of reduced signalling, etc.</w:t>
      </w:r>
    </w:p>
    <w:p w14:paraId="01C2124A" w14:textId="0A20290A" w:rsidR="00790799" w:rsidRPr="00E62A6F" w:rsidRDefault="00790799" w:rsidP="00790799">
      <w:pPr>
        <w:pStyle w:val="Proposal"/>
        <w:overflowPunct/>
        <w:autoSpaceDE/>
        <w:autoSpaceDN/>
        <w:adjustRightInd/>
        <w:spacing w:line="259" w:lineRule="auto"/>
        <w:jc w:val="left"/>
        <w:textAlignment w:val="auto"/>
        <w:rPr>
          <w:lang w:val="en-US"/>
        </w:rPr>
      </w:pPr>
      <w:bookmarkStart w:id="8" w:name="_Toc528954279"/>
      <w:bookmarkStart w:id="9" w:name="_Toc534993322"/>
      <w:r w:rsidRPr="00E62A6F">
        <w:rPr>
          <w:lang w:val="en-US"/>
        </w:rPr>
        <w:t xml:space="preserve">Both slot-boundary and DFN alignment are </w:t>
      </w:r>
      <w:r w:rsidR="004B5655">
        <w:rPr>
          <w:lang w:val="en-US"/>
        </w:rPr>
        <w:t>required</w:t>
      </w:r>
      <w:r w:rsidR="004B5655" w:rsidRPr="00E62A6F">
        <w:rPr>
          <w:lang w:val="en-US"/>
        </w:rPr>
        <w:t xml:space="preserve"> </w:t>
      </w:r>
      <w:r w:rsidRPr="00E62A6F">
        <w:rPr>
          <w:lang w:val="en-US"/>
        </w:rPr>
        <w:t>for TDM coexistence.</w:t>
      </w:r>
      <w:bookmarkEnd w:id="8"/>
      <w:bookmarkEnd w:id="9"/>
    </w:p>
    <w:p w14:paraId="08354E92" w14:textId="64D870CA" w:rsidR="00790799" w:rsidRPr="00413ECC" w:rsidRDefault="00863A68" w:rsidP="00413ECC">
      <w:pPr>
        <w:pStyle w:val="Proposal"/>
        <w:overflowPunct/>
        <w:autoSpaceDE/>
        <w:autoSpaceDN/>
        <w:adjustRightInd/>
        <w:spacing w:line="259" w:lineRule="auto"/>
        <w:jc w:val="left"/>
        <w:textAlignment w:val="auto"/>
        <w:rPr>
          <w:lang w:val="en-US"/>
        </w:rPr>
      </w:pPr>
      <w:bookmarkStart w:id="10" w:name="_Toc528954280"/>
      <w:bookmarkStart w:id="11" w:name="_Toc534993323"/>
      <w:r>
        <w:t>Shared Tx pool configurations (including numerologies) and a method for translating pool configurations from one RAT to the other are used for TDM-based coexistence</w:t>
      </w:r>
      <w:r w:rsidR="00790799" w:rsidRPr="00E62A6F">
        <w:rPr>
          <w:lang w:val="en-US"/>
        </w:rPr>
        <w:t>.</w:t>
      </w:r>
      <w:bookmarkEnd w:id="10"/>
      <w:bookmarkEnd w:id="11"/>
    </w:p>
    <w:p w14:paraId="1B24D40C" w14:textId="77777777" w:rsidR="00413ECC" w:rsidRDefault="00413ECC" w:rsidP="00CE0424">
      <w:pPr>
        <w:pStyle w:val="BodyText"/>
      </w:pPr>
    </w:p>
    <w:p w14:paraId="061C1A58" w14:textId="30C26658" w:rsidR="00F63950" w:rsidRDefault="00230D18" w:rsidP="00F63950">
      <w:pPr>
        <w:pStyle w:val="Heading2"/>
      </w:pPr>
      <w:r>
        <w:t>2.2</w:t>
      </w:r>
      <w:r>
        <w:tab/>
      </w:r>
      <w:r w:rsidR="00413ECC" w:rsidRPr="000F7F25">
        <w:t>FDM-based solution</w:t>
      </w:r>
    </w:p>
    <w:p w14:paraId="2362436D" w14:textId="01B6DF7A" w:rsidR="00413ECC" w:rsidRPr="0042565F" w:rsidRDefault="00413ECC" w:rsidP="00413ECC">
      <w:pPr>
        <w:pStyle w:val="BodyText"/>
        <w:rPr>
          <w:rFonts w:cs="Arial"/>
          <w:lang w:val="en-US"/>
        </w:rPr>
      </w:pPr>
      <w:r w:rsidRPr="0042565F">
        <w:rPr>
          <w:rFonts w:cs="Arial"/>
          <w:lang w:val="en-US"/>
        </w:rPr>
        <w:t>The FDM</w:t>
      </w:r>
      <w:r>
        <w:rPr>
          <w:rFonts w:cs="Arial"/>
          <w:lang w:val="en-US"/>
        </w:rPr>
        <w:t>-based</w:t>
      </w:r>
      <w:r w:rsidRPr="0042565F">
        <w:rPr>
          <w:rFonts w:cs="Arial"/>
          <w:lang w:val="en-US"/>
        </w:rPr>
        <w:t xml:space="preserve"> solution </w:t>
      </w:r>
      <w:r>
        <w:rPr>
          <w:rFonts w:cs="Arial"/>
          <w:lang w:val="en-US"/>
        </w:rPr>
        <w:t xml:space="preserve">needs to consider the </w:t>
      </w:r>
      <w:r w:rsidRPr="0042565F">
        <w:rPr>
          <w:rFonts w:cs="Arial"/>
          <w:lang w:val="en-US"/>
        </w:rPr>
        <w:t>following technical issues:</w:t>
      </w:r>
    </w:p>
    <w:p w14:paraId="0BC17D86" w14:textId="22AAA73E" w:rsidR="00413ECC" w:rsidRPr="0042565F" w:rsidRDefault="00413ECC" w:rsidP="0083618F">
      <w:pPr>
        <w:pStyle w:val="BodyText"/>
        <w:numPr>
          <w:ilvl w:val="0"/>
          <w:numId w:val="28"/>
        </w:numPr>
        <w:overflowPunct/>
        <w:autoSpaceDE/>
        <w:autoSpaceDN/>
        <w:adjustRightInd/>
        <w:spacing w:line="259" w:lineRule="auto"/>
        <w:textAlignment w:val="auto"/>
        <w:rPr>
          <w:rFonts w:cs="Arial"/>
          <w:lang w:val="en-US"/>
        </w:rPr>
      </w:pPr>
      <w:r w:rsidRPr="0042565F">
        <w:rPr>
          <w:rFonts w:cs="Arial"/>
          <w:lang w:val="en-US"/>
        </w:rPr>
        <w:lastRenderedPageBreak/>
        <w:t>Half-duplex</w:t>
      </w:r>
      <w:r w:rsidR="00EB1F19">
        <w:rPr>
          <w:rFonts w:cs="Arial"/>
          <w:lang w:val="en-US"/>
        </w:rPr>
        <w:t xml:space="preserve"> issue</w:t>
      </w:r>
      <w:r w:rsidRPr="0042565F">
        <w:rPr>
          <w:rFonts w:cs="Arial"/>
          <w:lang w:val="en-US"/>
        </w:rPr>
        <w:t xml:space="preserve"> between NR SL and LTE SL operations</w:t>
      </w:r>
      <w:r w:rsidR="00EB1F19">
        <w:rPr>
          <w:rFonts w:cs="Arial"/>
          <w:lang w:val="en-US"/>
        </w:rPr>
        <w:t>:</w:t>
      </w:r>
      <w:r w:rsidRPr="0042565F">
        <w:rPr>
          <w:rFonts w:cs="Arial"/>
          <w:lang w:val="en-US"/>
        </w:rPr>
        <w:t xml:space="preserve"> It may not be possible for a UE to transmit in one RAT and receive in another RAT at the same time because the self-interference can be very strong. </w:t>
      </w:r>
    </w:p>
    <w:p w14:paraId="18F937C0" w14:textId="77777777" w:rsidR="00413ECC" w:rsidRPr="0042565F" w:rsidRDefault="00413ECC" w:rsidP="0083618F">
      <w:pPr>
        <w:pStyle w:val="BodyText"/>
        <w:numPr>
          <w:ilvl w:val="0"/>
          <w:numId w:val="28"/>
        </w:numPr>
        <w:overflowPunct/>
        <w:autoSpaceDE/>
        <w:autoSpaceDN/>
        <w:adjustRightInd/>
        <w:spacing w:line="259" w:lineRule="auto"/>
        <w:textAlignment w:val="auto"/>
        <w:rPr>
          <w:rFonts w:cs="Arial"/>
          <w:lang w:val="en-US"/>
        </w:rPr>
      </w:pPr>
      <w:r w:rsidRPr="0042565F">
        <w:rPr>
          <w:rFonts w:cs="Arial"/>
          <w:lang w:val="en-US"/>
        </w:rPr>
        <w:t xml:space="preserve">Power leakage: in-band emission or out-of-band emission from a transmission in one RAT of a UE will have negative impacts on the reception in the other RAT of another UE. </w:t>
      </w:r>
    </w:p>
    <w:p w14:paraId="2BDC91D3" w14:textId="77777777" w:rsidR="00413ECC" w:rsidRPr="0042565F" w:rsidRDefault="00413ECC" w:rsidP="0083618F">
      <w:pPr>
        <w:pStyle w:val="BodyText"/>
        <w:numPr>
          <w:ilvl w:val="0"/>
          <w:numId w:val="28"/>
        </w:numPr>
        <w:overflowPunct/>
        <w:autoSpaceDE/>
        <w:autoSpaceDN/>
        <w:adjustRightInd/>
        <w:spacing w:line="259" w:lineRule="auto"/>
        <w:textAlignment w:val="auto"/>
        <w:rPr>
          <w:rFonts w:cs="Arial"/>
          <w:lang w:val="en-US"/>
        </w:rPr>
      </w:pPr>
      <w:r w:rsidRPr="0042565F">
        <w:rPr>
          <w:rFonts w:cs="Arial"/>
          <w:lang w:val="en-US"/>
        </w:rPr>
        <w:t>Power sharing of the two RATs. If a UE wants to transmit in the two RATs at the same time, it will need to share the transmit power, at least not to violate regulatory requirements on the emission level.</w:t>
      </w:r>
    </w:p>
    <w:p w14:paraId="04D3E16A" w14:textId="44960908" w:rsidR="00BE07EC" w:rsidRPr="0083618F" w:rsidRDefault="00BE07EC" w:rsidP="0083618F">
      <w:pPr>
        <w:pStyle w:val="BodyText"/>
        <w:rPr>
          <w:rFonts w:cs="Arial"/>
          <w:lang w:val="en-US"/>
        </w:rPr>
      </w:pPr>
      <w:r>
        <w:rPr>
          <w:rFonts w:cs="Arial"/>
          <w:lang w:val="en-US"/>
        </w:rPr>
        <w:t>We believe that mechanisms to handle impacts of half-duplex and in- and out-of-band emissions are necessary. For example, some guard band can be used to limit the power leakage. This may require also the work in RAN4.</w:t>
      </w:r>
    </w:p>
    <w:p w14:paraId="07A6033B" w14:textId="5C32CA66" w:rsidR="00413ECC" w:rsidRDefault="00413ECC" w:rsidP="0083618F">
      <w:pPr>
        <w:pStyle w:val="Proposal"/>
        <w:overflowPunct/>
        <w:autoSpaceDE/>
        <w:autoSpaceDN/>
        <w:adjustRightInd/>
        <w:spacing w:line="259" w:lineRule="auto"/>
        <w:textAlignment w:val="auto"/>
        <w:rPr>
          <w:rFonts w:cs="Arial"/>
          <w:lang w:val="en-US"/>
        </w:rPr>
      </w:pPr>
      <w:bookmarkStart w:id="12" w:name="_Toc525737763"/>
      <w:bookmarkStart w:id="13" w:name="_Toc525738155"/>
      <w:bookmarkStart w:id="14" w:name="_Toc525897321"/>
      <w:bookmarkStart w:id="15" w:name="_Toc525897711"/>
      <w:bookmarkStart w:id="16" w:name="_Toc525897981"/>
      <w:bookmarkStart w:id="17" w:name="_Toc525898006"/>
      <w:bookmarkStart w:id="18" w:name="_Toc525898161"/>
      <w:bookmarkStart w:id="19" w:name="_Toc525898196"/>
      <w:bookmarkStart w:id="20" w:name="_Toc525898261"/>
      <w:bookmarkStart w:id="21" w:name="_Toc525898281"/>
      <w:bookmarkStart w:id="22" w:name="_Toc525900642"/>
      <w:bookmarkStart w:id="23" w:name="_Toc525907069"/>
      <w:bookmarkStart w:id="24" w:name="_Toc525911782"/>
      <w:bookmarkStart w:id="25" w:name="_Toc525916604"/>
      <w:bookmarkStart w:id="26" w:name="_Toc347823621"/>
      <w:bookmarkStart w:id="27" w:name="_Toc347824073"/>
      <w:bookmarkStart w:id="28" w:name="_Toc347824246"/>
      <w:bookmarkStart w:id="29" w:name="_Toc525928772"/>
      <w:bookmarkStart w:id="30" w:name="_Toc534993324"/>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42565F">
        <w:rPr>
          <w:rFonts w:cs="Arial"/>
          <w:lang w:val="en-US"/>
        </w:rPr>
        <w:t xml:space="preserve">RAN1 studies the impact of </w:t>
      </w:r>
      <w:bookmarkEnd w:id="26"/>
      <w:bookmarkEnd w:id="27"/>
      <w:bookmarkEnd w:id="28"/>
      <w:r w:rsidRPr="0042565F">
        <w:rPr>
          <w:rFonts w:cs="Arial"/>
          <w:lang w:val="en-US"/>
        </w:rPr>
        <w:t>half-duplex constraints and in-band and out-of-band emissions on PHY design of NR SL.</w:t>
      </w:r>
      <w:bookmarkEnd w:id="29"/>
      <w:bookmarkEnd w:id="30"/>
      <w:r w:rsidR="00BE07EC">
        <w:rPr>
          <w:rFonts w:cs="Arial"/>
          <w:lang w:val="en-US"/>
        </w:rPr>
        <w:t xml:space="preserve"> </w:t>
      </w:r>
    </w:p>
    <w:p w14:paraId="238B9E39" w14:textId="662556CE" w:rsidR="00BE07EC" w:rsidRPr="00863A68" w:rsidRDefault="00BE07EC" w:rsidP="0083618F">
      <w:pPr>
        <w:pStyle w:val="Proposal"/>
        <w:numPr>
          <w:ilvl w:val="1"/>
          <w:numId w:val="3"/>
        </w:numPr>
        <w:overflowPunct/>
        <w:autoSpaceDE/>
        <w:autoSpaceDN/>
        <w:adjustRightInd/>
        <w:spacing w:line="259" w:lineRule="auto"/>
        <w:jc w:val="left"/>
        <w:textAlignment w:val="auto"/>
        <w:rPr>
          <w:lang w:val="en-US"/>
        </w:rPr>
      </w:pPr>
      <w:bookmarkStart w:id="31" w:name="_Toc534993325"/>
      <w:r w:rsidRPr="00863A68">
        <w:rPr>
          <w:lang w:val="en-US"/>
        </w:rPr>
        <w:t>Ask RAN4 for relevant information, if necessary.</w:t>
      </w:r>
      <w:bookmarkEnd w:id="31"/>
    </w:p>
    <w:p w14:paraId="4C62AA2C" w14:textId="0A24B222" w:rsidR="00942C1E" w:rsidRDefault="00EB1F19" w:rsidP="0083618F">
      <w:pPr>
        <w:pStyle w:val="BodyText"/>
      </w:pPr>
      <w:r w:rsidRPr="0083618F">
        <w:rPr>
          <w:lang w:val="en-US"/>
        </w:rPr>
        <w:t>In our view</w:t>
      </w:r>
      <w:r>
        <w:rPr>
          <w:lang w:val="en-US"/>
        </w:rPr>
        <w:t>, for the Tx-Tx coexistence scenario, there can be some rules for power sharing between the</w:t>
      </w:r>
      <w:r w:rsidR="00BE07EC">
        <w:rPr>
          <w:lang w:val="en-US"/>
        </w:rPr>
        <w:t xml:space="preserve"> two transmissions. For example, the rules can be defined based some QoS parameters, or on the required/desired communication range of the packets to be transmitted in both RATs, or on </w:t>
      </w:r>
      <w:r w:rsidR="00BE07EC">
        <w:t xml:space="preserve">the congestion level at the RATs. However, </w:t>
      </w:r>
      <w:r w:rsidR="00942C1E">
        <w:t>as with the TDM-based solution (Section</w:t>
      </w:r>
      <w:r w:rsidR="00863A68">
        <w:t xml:space="preserve"> 2.1</w:t>
      </w:r>
      <w:r w:rsidR="00942C1E">
        <w:t>), any such rules need to wait until a stable QoS framework is in place, especially now in NR the QoS is more involved in LTE.</w:t>
      </w:r>
    </w:p>
    <w:p w14:paraId="260E341F" w14:textId="77777777" w:rsidR="00942C1E" w:rsidRDefault="00942C1E" w:rsidP="00942C1E">
      <w:pPr>
        <w:pStyle w:val="Proposal"/>
        <w:overflowPunct/>
        <w:autoSpaceDE/>
        <w:autoSpaceDN/>
        <w:adjustRightInd/>
        <w:spacing w:line="259" w:lineRule="auto"/>
        <w:jc w:val="left"/>
        <w:textAlignment w:val="auto"/>
        <w:rPr>
          <w:lang w:val="en-US"/>
        </w:rPr>
      </w:pPr>
      <w:bookmarkStart w:id="32" w:name="_Toc534993326"/>
      <w:r>
        <w:rPr>
          <w:lang w:val="en-US"/>
        </w:rPr>
        <w:t>Rules for power</w:t>
      </w:r>
      <w:r w:rsidRPr="00E62A6F">
        <w:rPr>
          <w:lang w:val="en-US"/>
        </w:rPr>
        <w:t xml:space="preserve"> </w:t>
      </w:r>
      <w:r>
        <w:rPr>
          <w:lang w:val="en-US"/>
        </w:rPr>
        <w:t xml:space="preserve">sharing </w:t>
      </w:r>
      <w:r w:rsidRPr="00E62A6F">
        <w:rPr>
          <w:lang w:val="en-US"/>
        </w:rPr>
        <w:t xml:space="preserve">for </w:t>
      </w:r>
      <w:r>
        <w:rPr>
          <w:lang w:val="en-US"/>
        </w:rPr>
        <w:t>F</w:t>
      </w:r>
      <w:r w:rsidRPr="00E62A6F">
        <w:rPr>
          <w:lang w:val="en-US"/>
        </w:rPr>
        <w:t xml:space="preserve">DM-based coexistence </w:t>
      </w:r>
      <w:r>
        <w:rPr>
          <w:lang w:val="en-US"/>
        </w:rPr>
        <w:t>should utilize QoS parameters, communication range, and congestion levels.</w:t>
      </w:r>
      <w:bookmarkEnd w:id="32"/>
      <w:r>
        <w:rPr>
          <w:lang w:val="en-US"/>
        </w:rPr>
        <w:t xml:space="preserve">  </w:t>
      </w:r>
    </w:p>
    <w:p w14:paraId="4D6B4558" w14:textId="08AE3243" w:rsidR="00942C1E" w:rsidRPr="00E62A6F" w:rsidRDefault="00942C1E" w:rsidP="0083618F">
      <w:pPr>
        <w:pStyle w:val="Proposal"/>
        <w:numPr>
          <w:ilvl w:val="1"/>
          <w:numId w:val="3"/>
        </w:numPr>
        <w:overflowPunct/>
        <w:autoSpaceDE/>
        <w:autoSpaceDN/>
        <w:adjustRightInd/>
        <w:spacing w:line="259" w:lineRule="auto"/>
        <w:jc w:val="left"/>
        <w:textAlignment w:val="auto"/>
        <w:rPr>
          <w:lang w:val="en-US"/>
        </w:rPr>
      </w:pPr>
      <w:bookmarkStart w:id="33" w:name="_Toc534993327"/>
      <w:r>
        <w:rPr>
          <w:lang w:val="en-US"/>
        </w:rPr>
        <w:t xml:space="preserve">The use of QoS parameters </w:t>
      </w:r>
      <w:r w:rsidRPr="00E62A6F">
        <w:rPr>
          <w:lang w:val="en-US"/>
        </w:rPr>
        <w:t>is only considered when the QoS framework for NR V2X has been developed.</w:t>
      </w:r>
      <w:bookmarkEnd w:id="33"/>
    </w:p>
    <w:p w14:paraId="15000F16" w14:textId="1580FA36" w:rsidR="004764EC" w:rsidRDefault="004764EC" w:rsidP="004764EC">
      <w:pPr>
        <w:pStyle w:val="Heading1"/>
      </w:pPr>
      <w:r>
        <w:t>3</w:t>
      </w:r>
      <w:r>
        <w:tab/>
        <w:t>On the role of synchronization for in-device coexistence</w:t>
      </w:r>
    </w:p>
    <w:p w14:paraId="64A5D1D8" w14:textId="24CA08EB" w:rsidR="004764EC" w:rsidRDefault="00A35DF6" w:rsidP="0083618F">
      <w:pPr>
        <w:overflowPunct/>
        <w:autoSpaceDE/>
        <w:autoSpaceDN/>
        <w:adjustRightInd/>
        <w:jc w:val="both"/>
        <w:textAlignment w:val="auto"/>
        <w:rPr>
          <w:rFonts w:ascii="Arial" w:hAnsi="Arial" w:cs="Arial"/>
          <w:lang w:val="en-US"/>
        </w:rPr>
      </w:pPr>
      <w:r w:rsidRPr="0083618F">
        <w:rPr>
          <w:rFonts w:ascii="Arial" w:hAnsi="Arial" w:cs="Arial"/>
          <w:lang w:val="en-US"/>
        </w:rPr>
        <w:t>In RAN1</w:t>
      </w:r>
      <w:r w:rsidR="002A22C7">
        <w:rPr>
          <w:rFonts w:ascii="Arial" w:hAnsi="Arial" w:cs="Arial"/>
          <w:lang w:val="en-US"/>
        </w:rPr>
        <w:t>#95, synchronization of NR and LTE sidelinks</w:t>
      </w:r>
      <w:r w:rsidR="002A22C7" w:rsidRPr="0083618F">
        <w:rPr>
          <w:rFonts w:ascii="Arial" w:hAnsi="Arial" w:cs="Arial"/>
          <w:lang w:val="en-US"/>
        </w:rPr>
        <w:t xml:space="preserve"> was assumed that </w:t>
      </w:r>
      <w:r w:rsidR="002A22C7">
        <w:rPr>
          <w:rFonts w:ascii="Arial" w:hAnsi="Arial" w:cs="Arial"/>
          <w:lang w:val="en-US"/>
        </w:rPr>
        <w:t>for the case of intra-band operation. However, for the case of inter-band operation, the assumption would prevent many deployments of interest. For example, operation of LTE sidelink on an ITS carrier (e.g., 5.9 GHz) with NR sidelink on a licensed carrier is a case of practical interest. If synchronization between the sidelinks would be required, this in turn would force the ITS and the licensed carrier to be synchronized too. This is clearly not possible. If necessary, RAN1 should discuss coexistence.</w:t>
      </w:r>
    </w:p>
    <w:p w14:paraId="1B639A4C" w14:textId="7668C233" w:rsidR="004B5655" w:rsidRPr="00221FF0" w:rsidRDefault="004B5655" w:rsidP="004B5655">
      <w:pPr>
        <w:pStyle w:val="Observation"/>
        <w:overflowPunct/>
        <w:autoSpaceDE/>
        <w:autoSpaceDN/>
        <w:adjustRightInd/>
        <w:spacing w:line="259" w:lineRule="auto"/>
        <w:ind w:left="360" w:hanging="360"/>
        <w:jc w:val="left"/>
        <w:textAlignment w:val="auto"/>
        <w:rPr>
          <w:lang w:val="en-US"/>
        </w:rPr>
      </w:pPr>
      <w:bookmarkStart w:id="34" w:name="_Toc534993330"/>
      <w:r w:rsidRPr="00221FF0">
        <w:rPr>
          <w:lang w:val="en-US"/>
        </w:rPr>
        <w:t xml:space="preserve">NR SL and LTE SL </w:t>
      </w:r>
      <w:r>
        <w:rPr>
          <w:lang w:val="en-US"/>
        </w:rPr>
        <w:t>may not be synchronized in many cases of commercial interest.</w:t>
      </w:r>
      <w:bookmarkEnd w:id="34"/>
    </w:p>
    <w:p w14:paraId="7BE27F59" w14:textId="4374E490" w:rsidR="002A22C7" w:rsidRPr="00221FF0" w:rsidRDefault="002A22C7" w:rsidP="002A22C7">
      <w:pPr>
        <w:pStyle w:val="Proposal"/>
        <w:overflowPunct/>
        <w:autoSpaceDE/>
        <w:autoSpaceDN/>
        <w:adjustRightInd/>
        <w:spacing w:line="259" w:lineRule="auto"/>
        <w:jc w:val="left"/>
        <w:textAlignment w:val="auto"/>
        <w:rPr>
          <w:lang w:val="en-US"/>
        </w:rPr>
      </w:pPr>
      <w:bookmarkStart w:id="35" w:name="_Toc534993328"/>
      <w:r>
        <w:rPr>
          <w:lang w:val="en-US"/>
        </w:rPr>
        <w:t>For inter-band, synchronization between NR</w:t>
      </w:r>
      <w:r w:rsidR="00AB52E2">
        <w:rPr>
          <w:lang w:val="en-US"/>
        </w:rPr>
        <w:t xml:space="preserve"> sidelink</w:t>
      </w:r>
      <w:r>
        <w:rPr>
          <w:lang w:val="en-US"/>
        </w:rPr>
        <w:t xml:space="preserve"> and LTE sidelink is not required.</w:t>
      </w:r>
      <w:bookmarkEnd w:id="35"/>
    </w:p>
    <w:p w14:paraId="097935AA" w14:textId="0BB996C9" w:rsidR="002A22C7" w:rsidRPr="0083618F" w:rsidRDefault="004B5655" w:rsidP="0083618F">
      <w:pPr>
        <w:overflowPunct/>
        <w:autoSpaceDE/>
        <w:autoSpaceDN/>
        <w:adjustRightInd/>
        <w:jc w:val="both"/>
        <w:textAlignment w:val="auto"/>
        <w:rPr>
          <w:rFonts w:ascii="Arial" w:hAnsi="Arial" w:cs="Arial"/>
          <w:lang w:val="en-US"/>
        </w:rPr>
      </w:pPr>
      <w:r>
        <w:rPr>
          <w:rFonts w:ascii="Arial" w:hAnsi="Arial" w:cs="Arial"/>
          <w:lang w:val="en-US"/>
        </w:rPr>
        <w:t>If necessary, RAN1 can specify a framework for resolution of potential conflicts between both sidelinks.</w:t>
      </w:r>
    </w:p>
    <w:p w14:paraId="5DE07CA3" w14:textId="77777777" w:rsidR="00A35DF6" w:rsidRDefault="00A35DF6" w:rsidP="0083618F">
      <w:pPr>
        <w:overflowPunct/>
        <w:autoSpaceDE/>
        <w:autoSpaceDN/>
        <w:adjustRightInd/>
        <w:spacing w:after="0"/>
        <w:textAlignment w:val="auto"/>
        <w:rPr>
          <w:b/>
          <w:lang w:val="en-US"/>
        </w:rPr>
      </w:pPr>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EB88363" w14:textId="1F13870C" w:rsidR="00C24D97" w:rsidRDefault="006F6582">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rPr>
        <w:fldChar w:fldCharType="begin"/>
      </w:r>
      <w:r>
        <w:rPr>
          <w:b w:val="0"/>
          <w:bCs/>
        </w:rPr>
        <w:instrText xml:space="preserve"> TOC \f O \n \h \z \t "Observation" \c </w:instrText>
      </w:r>
      <w:r>
        <w:rPr>
          <w:b w:val="0"/>
          <w:bCs/>
        </w:rPr>
        <w:fldChar w:fldCharType="separate"/>
      </w:r>
      <w:hyperlink w:anchor="_Toc534993329" w:history="1">
        <w:r w:rsidR="00C24D97" w:rsidRPr="00F05A87">
          <w:rPr>
            <w:rStyle w:val="Hyperlink"/>
            <w:noProof/>
            <w:lang w:val="en-US"/>
          </w:rPr>
          <w:t>Observation 1</w:t>
        </w:r>
        <w:r w:rsidR="00C24D97">
          <w:rPr>
            <w:rFonts w:asciiTheme="minorHAnsi" w:eastAsiaTheme="minorEastAsia" w:hAnsiTheme="minorHAnsi" w:cstheme="minorBidi"/>
            <w:b w:val="0"/>
            <w:noProof/>
            <w:sz w:val="22"/>
            <w:szCs w:val="22"/>
            <w:lang w:val="en-150" w:eastAsia="en-150"/>
          </w:rPr>
          <w:tab/>
        </w:r>
        <w:r w:rsidR="00C24D97" w:rsidRPr="00F05A87">
          <w:rPr>
            <w:rStyle w:val="Hyperlink"/>
            <w:noProof/>
            <w:lang w:val="en-US"/>
          </w:rPr>
          <w:t>Both long-term and short-term coordination solutions are needed.</w:t>
        </w:r>
      </w:hyperlink>
    </w:p>
    <w:p w14:paraId="0795689A" w14:textId="25640AB4" w:rsidR="00C24D97" w:rsidRDefault="00C24D9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330" w:history="1">
        <w:r w:rsidRPr="00F05A87">
          <w:rPr>
            <w:rStyle w:val="Hyperlink"/>
            <w:noProof/>
            <w:lang w:val="en-US"/>
          </w:rPr>
          <w:t>Observation 2</w:t>
        </w:r>
        <w:r>
          <w:rPr>
            <w:rFonts w:asciiTheme="minorHAnsi" w:eastAsiaTheme="minorEastAsia" w:hAnsiTheme="minorHAnsi" w:cstheme="minorBidi"/>
            <w:b w:val="0"/>
            <w:noProof/>
            <w:sz w:val="22"/>
            <w:szCs w:val="22"/>
            <w:lang w:val="en-150" w:eastAsia="en-150"/>
          </w:rPr>
          <w:tab/>
        </w:r>
        <w:r w:rsidRPr="00F05A87">
          <w:rPr>
            <w:rStyle w:val="Hyperlink"/>
            <w:noProof/>
            <w:lang w:val="en-US"/>
          </w:rPr>
          <w:t>NR SL and LTE SL may not be synchronized in many cases of commercial interest.</w:t>
        </w:r>
      </w:hyperlink>
    </w:p>
    <w:p w14:paraId="62D061AB" w14:textId="687229BF" w:rsidR="006E1C82" w:rsidRDefault="006F6582" w:rsidP="008E065E">
      <w:pPr>
        <w:pStyle w:val="BodyText"/>
        <w:rPr>
          <w:b/>
          <w:bCs/>
        </w:rPr>
      </w:pPr>
      <w:r>
        <w:rPr>
          <w:b/>
          <w:bCs/>
        </w:rPr>
        <w:fldChar w:fldCharType="end"/>
      </w:r>
    </w:p>
    <w:p w14:paraId="6F3FBB3A" w14:textId="77777777" w:rsidR="006E1C82" w:rsidRDefault="006E1C82" w:rsidP="008E065E">
      <w:pPr>
        <w:pStyle w:val="BodyText"/>
        <w:rPr>
          <w:b/>
          <w:bCs/>
        </w:rPr>
      </w:pP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D233EA5" w14:textId="741326A0" w:rsidR="00C24D97" w:rsidRDefault="006E1C82">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993319" w:history="1">
        <w:r w:rsidR="00C24D97" w:rsidRPr="00B60FC7">
          <w:rPr>
            <w:rStyle w:val="Hyperlink"/>
            <w:rFonts w:cs="Arial"/>
            <w:noProof/>
            <w:lang w:val="en-US"/>
          </w:rPr>
          <w:t>Proposal 1</w:t>
        </w:r>
        <w:r w:rsidR="00C24D97">
          <w:rPr>
            <w:rFonts w:asciiTheme="minorHAnsi" w:eastAsiaTheme="minorEastAsia" w:hAnsiTheme="minorHAnsi" w:cstheme="minorBidi"/>
            <w:b w:val="0"/>
            <w:noProof/>
            <w:sz w:val="22"/>
            <w:szCs w:val="22"/>
            <w:lang w:val="en-150" w:eastAsia="en-150"/>
          </w:rPr>
          <w:tab/>
        </w:r>
        <w:r w:rsidR="00C24D97" w:rsidRPr="00B60FC7">
          <w:rPr>
            <w:rStyle w:val="Hyperlink"/>
            <w:rFonts w:cs="Arial"/>
            <w:noProof/>
            <w:lang w:val="en-US"/>
          </w:rPr>
          <w:t>The support of TDM-based and/or FDM-based solution is based on UE capability.</w:t>
        </w:r>
      </w:hyperlink>
    </w:p>
    <w:p w14:paraId="3C2716DC" w14:textId="13C3DB63" w:rsidR="00C24D97" w:rsidRDefault="00C24D9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320" w:history="1">
        <w:r w:rsidRPr="00B60FC7">
          <w:rPr>
            <w:rStyle w:val="Hyperlink"/>
            <w:rFonts w:cs="Arial"/>
            <w:noProof/>
            <w:lang w:val="en-US"/>
          </w:rPr>
          <w:t>Proposal 2</w:t>
        </w:r>
        <w:r>
          <w:rPr>
            <w:rFonts w:asciiTheme="minorHAnsi" w:eastAsiaTheme="minorEastAsia" w:hAnsiTheme="minorHAnsi" w:cstheme="minorBidi"/>
            <w:b w:val="0"/>
            <w:noProof/>
            <w:sz w:val="22"/>
            <w:szCs w:val="22"/>
            <w:lang w:val="en-150" w:eastAsia="en-150"/>
          </w:rPr>
          <w:tab/>
        </w:r>
        <w:r w:rsidRPr="00B60FC7">
          <w:rPr>
            <w:rStyle w:val="Hyperlink"/>
            <w:rFonts w:cs="Arial"/>
            <w:noProof/>
            <w:lang w:val="en-US"/>
          </w:rPr>
          <w:t>UEs in a network can report their capability to the network to assist the network in configuring a TDM-based or FDM-based approach for the UEs.</w:t>
        </w:r>
      </w:hyperlink>
    </w:p>
    <w:p w14:paraId="42A4C45F" w14:textId="0F433DB2" w:rsidR="00C24D97" w:rsidRDefault="00C24D9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321" w:history="1">
        <w:r w:rsidRPr="00B60FC7">
          <w:rPr>
            <w:rStyle w:val="Hyperlink"/>
            <w:noProof/>
            <w:lang w:val="en-US"/>
          </w:rPr>
          <w:t>Proposal 3</w:t>
        </w:r>
        <w:r>
          <w:rPr>
            <w:rFonts w:asciiTheme="minorHAnsi" w:eastAsiaTheme="minorEastAsia" w:hAnsiTheme="minorHAnsi" w:cstheme="minorBidi"/>
            <w:b w:val="0"/>
            <w:noProof/>
            <w:sz w:val="22"/>
            <w:szCs w:val="22"/>
            <w:lang w:val="en-150" w:eastAsia="en-150"/>
          </w:rPr>
          <w:tab/>
        </w:r>
        <w:r w:rsidRPr="00B60FC7">
          <w:rPr>
            <w:rStyle w:val="Hyperlink"/>
            <w:noProof/>
            <w:lang w:val="en-US"/>
          </w:rPr>
          <w:t>RAT prioritization for TDM-based coexistence is only considered when the QoS framework for NR V2X has been developed.</w:t>
        </w:r>
      </w:hyperlink>
    </w:p>
    <w:p w14:paraId="460E512B" w14:textId="768A782F" w:rsidR="00C24D97" w:rsidRDefault="00C24D9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322" w:history="1">
        <w:r w:rsidRPr="00B60FC7">
          <w:rPr>
            <w:rStyle w:val="Hyperlink"/>
            <w:noProof/>
            <w:lang w:val="en-US"/>
          </w:rPr>
          <w:t>Proposal 4</w:t>
        </w:r>
        <w:r>
          <w:rPr>
            <w:rFonts w:asciiTheme="minorHAnsi" w:eastAsiaTheme="minorEastAsia" w:hAnsiTheme="minorHAnsi" w:cstheme="minorBidi"/>
            <w:b w:val="0"/>
            <w:noProof/>
            <w:sz w:val="22"/>
            <w:szCs w:val="22"/>
            <w:lang w:val="en-150" w:eastAsia="en-150"/>
          </w:rPr>
          <w:tab/>
        </w:r>
        <w:r w:rsidRPr="00B60FC7">
          <w:rPr>
            <w:rStyle w:val="Hyperlink"/>
            <w:noProof/>
            <w:lang w:val="en-US"/>
          </w:rPr>
          <w:t>Both slot-boundary and DFN alignment are required for TDM coexistence.</w:t>
        </w:r>
      </w:hyperlink>
    </w:p>
    <w:p w14:paraId="2E4CC49A" w14:textId="3D243111" w:rsidR="00C24D97" w:rsidRDefault="00C24D9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323" w:history="1">
        <w:r w:rsidRPr="00B60FC7">
          <w:rPr>
            <w:rStyle w:val="Hyperlink"/>
            <w:noProof/>
            <w:lang w:val="en-US"/>
          </w:rPr>
          <w:t>Proposal 5</w:t>
        </w:r>
        <w:r>
          <w:rPr>
            <w:rFonts w:asciiTheme="minorHAnsi" w:eastAsiaTheme="minorEastAsia" w:hAnsiTheme="minorHAnsi" w:cstheme="minorBidi"/>
            <w:b w:val="0"/>
            <w:noProof/>
            <w:sz w:val="22"/>
            <w:szCs w:val="22"/>
            <w:lang w:val="en-150" w:eastAsia="en-150"/>
          </w:rPr>
          <w:tab/>
        </w:r>
        <w:r w:rsidRPr="00B60FC7">
          <w:rPr>
            <w:rStyle w:val="Hyperlink"/>
            <w:noProof/>
          </w:rPr>
          <w:t>Shared Tx pool configurations (including numerologies) and a method for translating pool configurations from one RAT to the other are used for TDM-based coexistence</w:t>
        </w:r>
        <w:r w:rsidRPr="00B60FC7">
          <w:rPr>
            <w:rStyle w:val="Hyperlink"/>
            <w:noProof/>
            <w:lang w:val="en-US"/>
          </w:rPr>
          <w:t>.</w:t>
        </w:r>
      </w:hyperlink>
    </w:p>
    <w:p w14:paraId="521F0396" w14:textId="7DDD3A9A" w:rsidR="00C24D97" w:rsidRDefault="00C24D9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324" w:history="1">
        <w:r w:rsidRPr="00B60FC7">
          <w:rPr>
            <w:rStyle w:val="Hyperlink"/>
            <w:rFonts w:cs="Arial"/>
            <w:noProof/>
            <w:lang w:val="en-US"/>
          </w:rPr>
          <w:t>Proposal 6</w:t>
        </w:r>
        <w:r>
          <w:rPr>
            <w:rFonts w:asciiTheme="minorHAnsi" w:eastAsiaTheme="minorEastAsia" w:hAnsiTheme="minorHAnsi" w:cstheme="minorBidi"/>
            <w:b w:val="0"/>
            <w:noProof/>
            <w:sz w:val="22"/>
            <w:szCs w:val="22"/>
            <w:lang w:val="en-150" w:eastAsia="en-150"/>
          </w:rPr>
          <w:tab/>
        </w:r>
        <w:r w:rsidRPr="00B60FC7">
          <w:rPr>
            <w:rStyle w:val="Hyperlink"/>
            <w:rFonts w:cs="Arial"/>
            <w:noProof/>
            <w:lang w:val="en-US"/>
          </w:rPr>
          <w:t>RAN1 studies the impact of half-duplex constraints and in-band and out-of-band emissions on PHY design of NR SL.</w:t>
        </w:r>
      </w:hyperlink>
    </w:p>
    <w:p w14:paraId="0AD981D0" w14:textId="3C6E4B37" w:rsidR="00C24D97" w:rsidRDefault="00C24D9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325" w:history="1">
        <w:r w:rsidRPr="00B60FC7">
          <w:rPr>
            <w:rStyle w:val="Hyperlink"/>
            <w:noProof/>
            <w:lang w:val="en-US"/>
          </w:rPr>
          <w:t>a.</w:t>
        </w:r>
        <w:r>
          <w:rPr>
            <w:rFonts w:asciiTheme="minorHAnsi" w:eastAsiaTheme="minorEastAsia" w:hAnsiTheme="minorHAnsi" w:cstheme="minorBidi"/>
            <w:b w:val="0"/>
            <w:noProof/>
            <w:sz w:val="22"/>
            <w:szCs w:val="22"/>
            <w:lang w:val="en-150" w:eastAsia="en-150"/>
          </w:rPr>
          <w:tab/>
        </w:r>
        <w:r w:rsidRPr="00B60FC7">
          <w:rPr>
            <w:rStyle w:val="Hyperlink"/>
            <w:noProof/>
            <w:lang w:val="en-US"/>
          </w:rPr>
          <w:t>Ask RAN4 for relevant information, if necessary.</w:t>
        </w:r>
      </w:hyperlink>
    </w:p>
    <w:p w14:paraId="5555C6C1" w14:textId="649151FD" w:rsidR="00C24D97" w:rsidRDefault="00C24D9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326" w:history="1">
        <w:r w:rsidRPr="00B60FC7">
          <w:rPr>
            <w:rStyle w:val="Hyperlink"/>
            <w:noProof/>
            <w:lang w:val="en-US"/>
          </w:rPr>
          <w:t>Proposal 7</w:t>
        </w:r>
        <w:r>
          <w:rPr>
            <w:rFonts w:asciiTheme="minorHAnsi" w:eastAsiaTheme="minorEastAsia" w:hAnsiTheme="minorHAnsi" w:cstheme="minorBidi"/>
            <w:b w:val="0"/>
            <w:noProof/>
            <w:sz w:val="22"/>
            <w:szCs w:val="22"/>
            <w:lang w:val="en-150" w:eastAsia="en-150"/>
          </w:rPr>
          <w:tab/>
        </w:r>
        <w:r w:rsidRPr="00B60FC7">
          <w:rPr>
            <w:rStyle w:val="Hyperlink"/>
            <w:noProof/>
            <w:lang w:val="en-US"/>
          </w:rPr>
          <w:t>Rules for power sharing for FDM-based coexistence should utilize QoS parameters, communication range, and congestion levels.</w:t>
        </w:r>
      </w:hyperlink>
    </w:p>
    <w:p w14:paraId="56B6AACF" w14:textId="38A20BAD" w:rsidR="00C24D97" w:rsidRDefault="00C24D9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327" w:history="1">
        <w:r w:rsidRPr="00B60FC7">
          <w:rPr>
            <w:rStyle w:val="Hyperlink"/>
            <w:noProof/>
            <w:lang w:val="en-US"/>
          </w:rPr>
          <w:t>a.</w:t>
        </w:r>
        <w:r>
          <w:rPr>
            <w:rFonts w:asciiTheme="minorHAnsi" w:eastAsiaTheme="minorEastAsia" w:hAnsiTheme="minorHAnsi" w:cstheme="minorBidi"/>
            <w:b w:val="0"/>
            <w:noProof/>
            <w:sz w:val="22"/>
            <w:szCs w:val="22"/>
            <w:lang w:val="en-150" w:eastAsia="en-150"/>
          </w:rPr>
          <w:tab/>
        </w:r>
        <w:r w:rsidRPr="00B60FC7">
          <w:rPr>
            <w:rStyle w:val="Hyperlink"/>
            <w:noProof/>
            <w:lang w:val="en-US"/>
          </w:rPr>
          <w:t>The use of QoS parameters is only considered when the QoS framework for NR V2X has been developed.</w:t>
        </w:r>
      </w:hyperlink>
    </w:p>
    <w:p w14:paraId="38C3B917" w14:textId="044BED08" w:rsidR="00C24D97" w:rsidRDefault="00C24D9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328" w:history="1">
        <w:r w:rsidRPr="00B60FC7">
          <w:rPr>
            <w:rStyle w:val="Hyperlink"/>
            <w:noProof/>
            <w:lang w:val="en-US"/>
          </w:rPr>
          <w:t>Proposal 8</w:t>
        </w:r>
        <w:r>
          <w:rPr>
            <w:rFonts w:asciiTheme="minorHAnsi" w:eastAsiaTheme="minorEastAsia" w:hAnsiTheme="minorHAnsi" w:cstheme="minorBidi"/>
            <w:b w:val="0"/>
            <w:noProof/>
            <w:sz w:val="22"/>
            <w:szCs w:val="22"/>
            <w:lang w:val="en-150" w:eastAsia="en-150"/>
          </w:rPr>
          <w:tab/>
        </w:r>
        <w:r w:rsidRPr="00B60FC7">
          <w:rPr>
            <w:rStyle w:val="Hyperlink"/>
            <w:noProof/>
            <w:lang w:val="en-US"/>
          </w:rPr>
          <w:t>For inter-band, synchronization between NR sidelink and LTE sidelink is not required.</w:t>
        </w:r>
      </w:hyperlink>
    </w:p>
    <w:p w14:paraId="5A1EB9E8" w14:textId="24FA307F"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36" w:name="_In-sequence_SDU_delivery"/>
      <w:bookmarkStart w:id="37" w:name="_GoBack"/>
      <w:bookmarkEnd w:id="36"/>
      <w:bookmarkEnd w:id="37"/>
      <w:r w:rsidRPr="00CE0424">
        <w:t>References</w:t>
      </w:r>
    </w:p>
    <w:p w14:paraId="125C3BCF" w14:textId="1C46CE4B" w:rsidR="005F3025" w:rsidRPr="00CE0424" w:rsidRDefault="00872918" w:rsidP="00311702">
      <w:pPr>
        <w:pStyle w:val="Reference"/>
      </w:pPr>
      <w:bookmarkStart w:id="38" w:name="_Ref517523976"/>
      <w:bookmarkStart w:id="39" w:name="_Ref174151459"/>
      <w:bookmarkStart w:id="40" w:name="_Ref189809556"/>
      <w:r w:rsidRPr="001353A7">
        <w:rPr>
          <w:lang w:val="en-US"/>
        </w:rPr>
        <w:t>RP-1814</w:t>
      </w:r>
      <w:r w:rsidR="00863A68">
        <w:rPr>
          <w:lang w:val="en-US"/>
        </w:rPr>
        <w:t>80</w:t>
      </w:r>
      <w:r w:rsidRPr="001353A7">
        <w:rPr>
          <w:lang w:val="en-US"/>
        </w:rPr>
        <w:t>, New SID: Study on NR V2X, 3GPP TSG RAN Meeting #80, June 2018</w:t>
      </w:r>
      <w:bookmarkEnd w:id="38"/>
      <w:r w:rsidRPr="001353A7">
        <w:rPr>
          <w:lang w:val="en-US"/>
        </w:rPr>
        <w:t>.</w:t>
      </w:r>
    </w:p>
    <w:bookmarkEnd w:id="39"/>
    <w:bookmarkEnd w:id="40"/>
    <w:p w14:paraId="0034D3CC"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B2079" w14:textId="77777777" w:rsidR="00B511B2" w:rsidRDefault="00B511B2">
      <w:r>
        <w:separator/>
      </w:r>
    </w:p>
  </w:endnote>
  <w:endnote w:type="continuationSeparator" w:id="0">
    <w:p w14:paraId="18F81F88" w14:textId="77777777" w:rsidR="00B511B2" w:rsidRDefault="00B51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AB468" w14:textId="77777777" w:rsidR="00B511B2" w:rsidRDefault="00B511B2">
      <w:r>
        <w:separator/>
      </w:r>
    </w:p>
  </w:footnote>
  <w:footnote w:type="continuationSeparator" w:id="0">
    <w:p w14:paraId="03F0441B" w14:textId="77777777" w:rsidR="00B511B2" w:rsidRDefault="00B51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835ED"/>
    <w:multiLevelType w:val="hybridMultilevel"/>
    <w:tmpl w:val="E4F63C98"/>
    <w:lvl w:ilvl="0" w:tplc="7352A51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77127F"/>
    <w:multiLevelType w:val="hybridMultilevel"/>
    <w:tmpl w:val="73E48306"/>
    <w:lvl w:ilvl="0" w:tplc="16E4847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D7731DE"/>
    <w:multiLevelType w:val="hybridMultilevel"/>
    <w:tmpl w:val="7D803E8E"/>
    <w:lvl w:ilvl="0" w:tplc="4EAC7E5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A87191"/>
    <w:multiLevelType w:val="hybridMultilevel"/>
    <w:tmpl w:val="299A563A"/>
    <w:lvl w:ilvl="0" w:tplc="040B0001">
      <w:start w:val="1"/>
      <w:numFmt w:val="bullet"/>
      <w:lvlText w:val=""/>
      <w:lvlJc w:val="left"/>
      <w:pPr>
        <w:ind w:left="780" w:hanging="360"/>
      </w:pPr>
      <w:rPr>
        <w:rFonts w:ascii="Symbol" w:hAnsi="Symbol" w:hint="default"/>
      </w:rPr>
    </w:lvl>
    <w:lvl w:ilvl="1" w:tplc="040B0003" w:tentative="1">
      <w:start w:val="1"/>
      <w:numFmt w:val="bullet"/>
      <w:lvlText w:val="o"/>
      <w:lvlJc w:val="left"/>
      <w:pPr>
        <w:ind w:left="1500" w:hanging="360"/>
      </w:pPr>
      <w:rPr>
        <w:rFonts w:ascii="Courier New" w:hAnsi="Courier New" w:cs="Courier New" w:hint="default"/>
      </w:rPr>
    </w:lvl>
    <w:lvl w:ilvl="2" w:tplc="040B0005" w:tentative="1">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BB5600"/>
    <w:multiLevelType w:val="hybridMultilevel"/>
    <w:tmpl w:val="092C4AE2"/>
    <w:lvl w:ilvl="0" w:tplc="04090001">
      <w:start w:val="1"/>
      <w:numFmt w:val="bullet"/>
      <w:lvlText w:val=""/>
      <w:lvlJc w:val="left"/>
      <w:pPr>
        <w:ind w:left="2988" w:hanging="360"/>
      </w:pPr>
      <w:rPr>
        <w:rFonts w:ascii="Symbol" w:hAnsi="Symbol"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23"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514770"/>
    <w:multiLevelType w:val="hybridMultilevel"/>
    <w:tmpl w:val="1EACF1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A691575"/>
    <w:multiLevelType w:val="hybridMultilevel"/>
    <w:tmpl w:val="C4C656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5"/>
  </w:num>
  <w:num w:numId="2">
    <w:abstractNumId w:val="24"/>
  </w:num>
  <w:num w:numId="3">
    <w:abstractNumId w:val="18"/>
  </w:num>
  <w:num w:numId="4">
    <w:abstractNumId w:val="19"/>
  </w:num>
  <w:num w:numId="5">
    <w:abstractNumId w:val="14"/>
  </w:num>
  <w:num w:numId="6">
    <w:abstractNumId w:val="21"/>
  </w:num>
  <w:num w:numId="7">
    <w:abstractNumId w:val="28"/>
  </w:num>
  <w:num w:numId="8">
    <w:abstractNumId w:val="15"/>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29"/>
  </w:num>
  <w:num w:numId="17">
    <w:abstractNumId w:val="10"/>
  </w:num>
  <w:num w:numId="18">
    <w:abstractNumId w:val="12"/>
  </w:num>
  <w:num w:numId="19">
    <w:abstractNumId w:val="8"/>
  </w:num>
  <w:num w:numId="20">
    <w:abstractNumId w:val="32"/>
  </w:num>
  <w:num w:numId="21">
    <w:abstractNumId w:val="16"/>
  </w:num>
  <w:num w:numId="22">
    <w:abstractNumId w:val="31"/>
  </w:num>
  <w:num w:numId="23">
    <w:abstractNumId w:val="9"/>
  </w:num>
  <w:num w:numId="24">
    <w:abstractNumId w:val="17"/>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2"/>
  </w:num>
  <w:num w:numId="28">
    <w:abstractNumId w:val="3"/>
  </w:num>
  <w:num w:numId="29">
    <w:abstractNumId w:val="18"/>
  </w:num>
  <w:num w:numId="30">
    <w:abstractNumId w:val="18"/>
  </w:num>
  <w:num w:numId="31">
    <w:abstractNumId w:val="4"/>
  </w:num>
  <w:num w:numId="32">
    <w:abstractNumId w:val="11"/>
  </w:num>
  <w:num w:numId="33">
    <w:abstractNumId w:val="30"/>
  </w:num>
  <w:num w:numId="34">
    <w:abstractNumId w:val="27"/>
  </w:num>
  <w:num w:numId="35">
    <w:abstractNumId w:val="23"/>
  </w:num>
  <w:num w:numId="3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D85"/>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4C"/>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4C2"/>
    <w:rsid w:val="00220600"/>
    <w:rsid w:val="002224DB"/>
    <w:rsid w:val="00223FCB"/>
    <w:rsid w:val="002252C3"/>
    <w:rsid w:val="00225C54"/>
    <w:rsid w:val="00230765"/>
    <w:rsid w:val="00230ABF"/>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2C7"/>
    <w:rsid w:val="002A2869"/>
    <w:rsid w:val="002B24D6"/>
    <w:rsid w:val="002C41E6"/>
    <w:rsid w:val="002D071A"/>
    <w:rsid w:val="002D34B2"/>
    <w:rsid w:val="002D48B0"/>
    <w:rsid w:val="002D5B37"/>
    <w:rsid w:val="002D7637"/>
    <w:rsid w:val="002E17F2"/>
    <w:rsid w:val="002E7CAE"/>
    <w:rsid w:val="002F2771"/>
    <w:rsid w:val="002F37A9"/>
    <w:rsid w:val="002F7E7A"/>
    <w:rsid w:val="00301CE6"/>
    <w:rsid w:val="0030256B"/>
    <w:rsid w:val="0030501F"/>
    <w:rsid w:val="00307BA1"/>
    <w:rsid w:val="00311702"/>
    <w:rsid w:val="00311E82"/>
    <w:rsid w:val="00313FD6"/>
    <w:rsid w:val="003143BD"/>
    <w:rsid w:val="00315363"/>
    <w:rsid w:val="003203ED"/>
    <w:rsid w:val="00322C9F"/>
    <w:rsid w:val="00324D23"/>
    <w:rsid w:val="00330F0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3ECC"/>
    <w:rsid w:val="0041408D"/>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64EC"/>
    <w:rsid w:val="00477768"/>
    <w:rsid w:val="00486F1D"/>
    <w:rsid w:val="00492BC5"/>
    <w:rsid w:val="004964F1"/>
    <w:rsid w:val="004A16BC"/>
    <w:rsid w:val="004A2B94"/>
    <w:rsid w:val="004B5655"/>
    <w:rsid w:val="004B6F6A"/>
    <w:rsid w:val="004B7C0C"/>
    <w:rsid w:val="004C3898"/>
    <w:rsid w:val="004D36B1"/>
    <w:rsid w:val="004D7EBD"/>
    <w:rsid w:val="004E2680"/>
    <w:rsid w:val="004E28F9"/>
    <w:rsid w:val="004E462E"/>
    <w:rsid w:val="004E56DC"/>
    <w:rsid w:val="004E76F4"/>
    <w:rsid w:val="004F0B4E"/>
    <w:rsid w:val="004F0B6C"/>
    <w:rsid w:val="004F2078"/>
    <w:rsid w:val="004F2707"/>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5BCE"/>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A08"/>
    <w:rsid w:val="00715B9A"/>
    <w:rsid w:val="007257D0"/>
    <w:rsid w:val="00726EA6"/>
    <w:rsid w:val="00727208"/>
    <w:rsid w:val="00727680"/>
    <w:rsid w:val="007317B9"/>
    <w:rsid w:val="007348B1"/>
    <w:rsid w:val="007362A6"/>
    <w:rsid w:val="00736D7D"/>
    <w:rsid w:val="00740E58"/>
    <w:rsid w:val="007445A0"/>
    <w:rsid w:val="0074524B"/>
    <w:rsid w:val="00747D8B"/>
    <w:rsid w:val="00751228"/>
    <w:rsid w:val="00751F84"/>
    <w:rsid w:val="00754758"/>
    <w:rsid w:val="007571E1"/>
    <w:rsid w:val="007604B2"/>
    <w:rsid w:val="00760D10"/>
    <w:rsid w:val="00765281"/>
    <w:rsid w:val="00766BAD"/>
    <w:rsid w:val="007729A2"/>
    <w:rsid w:val="007755F2"/>
    <w:rsid w:val="00776971"/>
    <w:rsid w:val="00780A80"/>
    <w:rsid w:val="0078177E"/>
    <w:rsid w:val="0078304C"/>
    <w:rsid w:val="00783673"/>
    <w:rsid w:val="00785490"/>
    <w:rsid w:val="00790799"/>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06B"/>
    <w:rsid w:val="007E4610"/>
    <w:rsid w:val="007E4715"/>
    <w:rsid w:val="007E505B"/>
    <w:rsid w:val="007E7091"/>
    <w:rsid w:val="00803FAE"/>
    <w:rsid w:val="0080605F"/>
    <w:rsid w:val="00807786"/>
    <w:rsid w:val="00810325"/>
    <w:rsid w:val="00811FCB"/>
    <w:rsid w:val="008158D6"/>
    <w:rsid w:val="00817196"/>
    <w:rsid w:val="008235DB"/>
    <w:rsid w:val="00824AB4"/>
    <w:rsid w:val="00825C42"/>
    <w:rsid w:val="00825D25"/>
    <w:rsid w:val="00827D6F"/>
    <w:rsid w:val="00835068"/>
    <w:rsid w:val="00835F53"/>
    <w:rsid w:val="0083618F"/>
    <w:rsid w:val="008376AC"/>
    <w:rsid w:val="00843099"/>
    <w:rsid w:val="008444E8"/>
    <w:rsid w:val="00844E80"/>
    <w:rsid w:val="00846FE7"/>
    <w:rsid w:val="00856911"/>
    <w:rsid w:val="00863A68"/>
    <w:rsid w:val="00865E3B"/>
    <w:rsid w:val="008677FD"/>
    <w:rsid w:val="008706D4"/>
    <w:rsid w:val="00870F8A"/>
    <w:rsid w:val="008719A4"/>
    <w:rsid w:val="00871D23"/>
    <w:rsid w:val="00872918"/>
    <w:rsid w:val="00874312"/>
    <w:rsid w:val="0087437C"/>
    <w:rsid w:val="00875CD7"/>
    <w:rsid w:val="00876B4D"/>
    <w:rsid w:val="00877E43"/>
    <w:rsid w:val="00877F18"/>
    <w:rsid w:val="008905F1"/>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A9D"/>
    <w:rsid w:val="008F1C4E"/>
    <w:rsid w:val="008F1EAB"/>
    <w:rsid w:val="008F33DC"/>
    <w:rsid w:val="008F477F"/>
    <w:rsid w:val="00902350"/>
    <w:rsid w:val="0090336B"/>
    <w:rsid w:val="009053AA"/>
    <w:rsid w:val="00906939"/>
    <w:rsid w:val="00910B7D"/>
    <w:rsid w:val="00911DFB"/>
    <w:rsid w:val="009128C6"/>
    <w:rsid w:val="009139D9"/>
    <w:rsid w:val="00914AD8"/>
    <w:rsid w:val="00916079"/>
    <w:rsid w:val="00917CE9"/>
    <w:rsid w:val="00920BF2"/>
    <w:rsid w:val="00922010"/>
    <w:rsid w:val="00931BD9"/>
    <w:rsid w:val="009368F3"/>
    <w:rsid w:val="00941636"/>
    <w:rsid w:val="00942C1E"/>
    <w:rsid w:val="00943742"/>
    <w:rsid w:val="00945C05"/>
    <w:rsid w:val="00945DB6"/>
    <w:rsid w:val="00946945"/>
    <w:rsid w:val="00947713"/>
    <w:rsid w:val="00950DE7"/>
    <w:rsid w:val="00953920"/>
    <w:rsid w:val="00953D47"/>
    <w:rsid w:val="0095681E"/>
    <w:rsid w:val="009572D4"/>
    <w:rsid w:val="00961921"/>
    <w:rsid w:val="0096430A"/>
    <w:rsid w:val="0096554B"/>
    <w:rsid w:val="0096584A"/>
    <w:rsid w:val="009703DC"/>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003"/>
    <w:rsid w:val="009B7E87"/>
    <w:rsid w:val="009C0169"/>
    <w:rsid w:val="009C403E"/>
    <w:rsid w:val="009C749E"/>
    <w:rsid w:val="009D4FF0"/>
    <w:rsid w:val="009D703C"/>
    <w:rsid w:val="009D718F"/>
    <w:rsid w:val="009E068F"/>
    <w:rsid w:val="009E14E0"/>
    <w:rsid w:val="009E2582"/>
    <w:rsid w:val="009E35DB"/>
    <w:rsid w:val="009E47A3"/>
    <w:rsid w:val="009E642D"/>
    <w:rsid w:val="009F08F3"/>
    <w:rsid w:val="009F344F"/>
    <w:rsid w:val="00A01453"/>
    <w:rsid w:val="00A031D8"/>
    <w:rsid w:val="00A048A8"/>
    <w:rsid w:val="00A04F49"/>
    <w:rsid w:val="00A13E54"/>
    <w:rsid w:val="00A15A0B"/>
    <w:rsid w:val="00A17F63"/>
    <w:rsid w:val="00A2193B"/>
    <w:rsid w:val="00A2351A"/>
    <w:rsid w:val="00A264A9"/>
    <w:rsid w:val="00A26DCF"/>
    <w:rsid w:val="00A27785"/>
    <w:rsid w:val="00A30187"/>
    <w:rsid w:val="00A3448A"/>
    <w:rsid w:val="00A35DF6"/>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52E2"/>
    <w:rsid w:val="00AB655E"/>
    <w:rsid w:val="00AC007F"/>
    <w:rsid w:val="00AC2ECD"/>
    <w:rsid w:val="00AC3119"/>
    <w:rsid w:val="00AC49FB"/>
    <w:rsid w:val="00AC5A10"/>
    <w:rsid w:val="00AD0AA3"/>
    <w:rsid w:val="00AD2ED0"/>
    <w:rsid w:val="00AD3F94"/>
    <w:rsid w:val="00AD4A5A"/>
    <w:rsid w:val="00AE27AC"/>
    <w:rsid w:val="00AE40E0"/>
    <w:rsid w:val="00AE43D5"/>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1B2"/>
    <w:rsid w:val="00B548B7"/>
    <w:rsid w:val="00B664C7"/>
    <w:rsid w:val="00B739F6"/>
    <w:rsid w:val="00B81A6C"/>
    <w:rsid w:val="00B85DE5"/>
    <w:rsid w:val="00B90F73"/>
    <w:rsid w:val="00B93B59"/>
    <w:rsid w:val="00B9406A"/>
    <w:rsid w:val="00B95862"/>
    <w:rsid w:val="00BA2280"/>
    <w:rsid w:val="00BA2A08"/>
    <w:rsid w:val="00BA56D2"/>
    <w:rsid w:val="00BA76E0"/>
    <w:rsid w:val="00BB10A7"/>
    <w:rsid w:val="00BB2A25"/>
    <w:rsid w:val="00BB51E9"/>
    <w:rsid w:val="00BC0FDC"/>
    <w:rsid w:val="00BC3053"/>
    <w:rsid w:val="00BC4D2E"/>
    <w:rsid w:val="00BD48AC"/>
    <w:rsid w:val="00BD5F1A"/>
    <w:rsid w:val="00BE07EC"/>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E03"/>
    <w:rsid w:val="00C24D97"/>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229"/>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1EBC"/>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1C21"/>
    <w:rsid w:val="00E110E7"/>
    <w:rsid w:val="00E11B20"/>
    <w:rsid w:val="00E17FA2"/>
    <w:rsid w:val="00E22330"/>
    <w:rsid w:val="00E30B5A"/>
    <w:rsid w:val="00E3123D"/>
    <w:rsid w:val="00E31461"/>
    <w:rsid w:val="00E31D43"/>
    <w:rsid w:val="00E32405"/>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838"/>
    <w:rsid w:val="00EA7A41"/>
    <w:rsid w:val="00EB077B"/>
    <w:rsid w:val="00EB1F19"/>
    <w:rsid w:val="00EB4EA2"/>
    <w:rsid w:val="00EC24D5"/>
    <w:rsid w:val="00EC27C6"/>
    <w:rsid w:val="00EC28BD"/>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5516"/>
    <w:rsid w:val="00F60203"/>
    <w:rsid w:val="00F607C5"/>
    <w:rsid w:val="00F60DEA"/>
    <w:rsid w:val="00F627BD"/>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D7B"/>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637EE-F6F5-4A1A-AA89-80EAEF212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1458</Words>
  <Characters>8312</Characters>
  <Application>Microsoft Office Word</Application>
  <DocSecurity>0</DocSecurity>
  <Lines>69</Lines>
  <Paragraphs>19</Paragraphs>
  <ScaleCrop>false</ScaleCrop>
  <Company/>
  <LinksUpToDate>false</LinksUpToDate>
  <CharactersWithSpaces>9751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2019-01-11T17:06:00Z</dcterms:created>
  <dcterms:modified xsi:type="dcterms:W3CDTF">2019-01-11T17:06:00Z</dcterms:modified>
  <cp:category/>
</cp:coreProperties>
</file>